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04"/>
        <w:gridCol w:w="440"/>
        <w:gridCol w:w="9197"/>
      </w:tblGrid>
      <w:tr w:rsidR="00BD4F2A" w:rsidRPr="00B47E95" w:rsidTr="00C51CEC">
        <w:trPr>
          <w:trHeight w:val="1133"/>
        </w:trPr>
        <w:tc>
          <w:tcPr>
            <w:tcW w:w="1958" w:type="pct"/>
          </w:tcPr>
          <w:p w:rsidR="00E072E0" w:rsidRPr="00B47E95" w:rsidRDefault="00E072E0" w:rsidP="00E072E0">
            <w:pPr>
              <w:widowControl/>
              <w:jc w:val="center"/>
              <w:rPr>
                <w:rFonts w:ascii="Times New Roman" w:hAnsi="Times New Roman" w:cs="Times New Roman"/>
                <w:color w:val="auto"/>
                <w:sz w:val="26"/>
                <w:szCs w:val="26"/>
                <w:lang w:val="en-US" w:eastAsia="en-US"/>
              </w:rPr>
            </w:pPr>
            <w:r w:rsidRPr="00B47E95">
              <w:rPr>
                <w:rFonts w:ascii="Times New Roman" w:hAnsi="Times New Roman" w:cs="Times New Roman"/>
                <w:color w:val="auto"/>
                <w:sz w:val="26"/>
                <w:szCs w:val="26"/>
                <w:lang w:val="en-US" w:eastAsia="en-US"/>
              </w:rPr>
              <w:t>UBND TỈNH CAO BẰNG</w:t>
            </w:r>
          </w:p>
          <w:p w:rsidR="00E072E0" w:rsidRPr="00B47E95" w:rsidRDefault="00E072E0" w:rsidP="00E072E0">
            <w:pPr>
              <w:widowControl/>
              <w:jc w:val="center"/>
              <w:rPr>
                <w:rFonts w:ascii="Times New Roman" w:hAnsi="Times New Roman" w:cs="Times New Roman"/>
                <w:b/>
                <w:color w:val="auto"/>
                <w:sz w:val="28"/>
                <w:szCs w:val="28"/>
                <w:lang w:val="en-US" w:eastAsia="en-US"/>
              </w:rPr>
            </w:pPr>
            <w:r w:rsidRPr="00B47E95">
              <w:rPr>
                <w:rFonts w:ascii="Times New Roman" w:hAnsi="Times New Roman" w:cs="Times New Roman"/>
                <w:b/>
                <w:color w:val="auto"/>
                <w:sz w:val="28"/>
                <w:szCs w:val="28"/>
                <w:lang w:val="en-US" w:eastAsia="en-US"/>
              </w:rPr>
              <w:t>SỞ TÀI CHÍNH</w:t>
            </w:r>
          </w:p>
          <w:p w:rsidR="00BD4F2A" w:rsidRPr="00B47E95" w:rsidRDefault="00C51CEC" w:rsidP="00E072E0">
            <w:pPr>
              <w:spacing w:before="120"/>
              <w:jc w:val="center"/>
              <w:rPr>
                <w:rFonts w:ascii="Times New Roman" w:hAnsi="Times New Roman" w:cs="Times New Roman"/>
                <w:b/>
                <w:sz w:val="28"/>
                <w:szCs w:val="28"/>
              </w:rPr>
            </w:pPr>
            <w:r w:rsidRPr="00B47E95">
              <w:rPr>
                <w:rFonts w:ascii="Times New Roman" w:hAnsi="Times New Roman" w:cs="Times New Roman"/>
                <w:noProof/>
                <w:color w:val="auto"/>
                <w:sz w:val="26"/>
                <w:szCs w:val="26"/>
                <w:lang w:val="en-US" w:eastAsia="en-US"/>
              </w:rPr>
              <mc:AlternateContent>
                <mc:Choice Requires="wps">
                  <w:drawing>
                    <wp:anchor distT="0" distB="0" distL="114300" distR="114300" simplePos="0" relativeHeight="251664896" behindDoc="0" locked="0" layoutInCell="1" allowOverlap="1" wp14:anchorId="7F74F061" wp14:editId="4436C787">
                      <wp:simplePos x="0" y="0"/>
                      <wp:positionH relativeFrom="column">
                        <wp:posOffset>1223645</wp:posOffset>
                      </wp:positionH>
                      <wp:positionV relativeFrom="paragraph">
                        <wp:posOffset>134620</wp:posOffset>
                      </wp:positionV>
                      <wp:extent cx="1121410" cy="431165"/>
                      <wp:effectExtent l="0" t="0" r="21590"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431165"/>
                              </a:xfrm>
                              <a:prstGeom prst="rect">
                                <a:avLst/>
                              </a:prstGeom>
                              <a:solidFill>
                                <a:srgbClr val="FFFFFF"/>
                              </a:solidFill>
                              <a:ln w="9525">
                                <a:solidFill>
                                  <a:srgbClr val="000000"/>
                                </a:solidFill>
                                <a:miter lim="800000"/>
                                <a:headEnd/>
                                <a:tailEnd/>
                              </a:ln>
                            </wps:spPr>
                            <wps:txbx>
                              <w:txbxContent>
                                <w:p w:rsidR="00256699" w:rsidRPr="00000AA7" w:rsidRDefault="00256699" w:rsidP="00000AA7">
                                  <w:pPr>
                                    <w:spacing w:before="120" w:after="120"/>
                                    <w:jc w:val="center"/>
                                    <w:rPr>
                                      <w:rFonts w:ascii="Times New Roman" w:hAnsi="Times New Roman"/>
                                      <w:b/>
                                      <w:sz w:val="28"/>
                                    </w:rPr>
                                  </w:pPr>
                                  <w:r w:rsidRPr="00000AA7">
                                    <w:rPr>
                                      <w:rFonts w:ascii="Times New Roman" w:hAnsi="Times New Roman"/>
                                      <w:b/>
                                      <w:sz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4F061" id="Rectangle 4" o:spid="_x0000_s1026" style="position:absolute;left:0;text-align:left;margin-left:96.35pt;margin-top:10.6pt;width:88.3pt;height:33.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">
                      <v:textbox>
                        <w:txbxContent>
                          <w:p w:rsidR="00256699" w:rsidRPr="00000AA7" w:rsidRDefault="00256699" w:rsidP="00000AA7">
                            <w:pPr>
                              <w:spacing w:before="120" w:after="120"/>
                              <w:jc w:val="center"/>
                              <w:rPr>
                                <w:rFonts w:ascii="Times New Roman" w:hAnsi="Times New Roman"/>
                                <w:b/>
                                <w:sz w:val="28"/>
                              </w:rPr>
                            </w:pPr>
                            <w:r w:rsidRPr="00000AA7">
                              <w:rPr>
                                <w:rFonts w:ascii="Times New Roman" w:hAnsi="Times New Roman"/>
                                <w:b/>
                                <w:sz w:val="28"/>
                              </w:rPr>
                              <w:t>DỰ THẢO</w:t>
                            </w:r>
                          </w:p>
                        </w:txbxContent>
                      </v:textbox>
                    </v:rect>
                  </w:pict>
                </mc:Fallback>
              </mc:AlternateContent>
            </w:r>
            <w:r w:rsidR="00633682" w:rsidRPr="00B47E95">
              <w:rPr>
                <w:rFonts w:ascii="Times New Roman" w:hAnsi="Times New Roman" w:cs="Times New Roman"/>
                <w:noProof/>
                <w:color w:val="auto"/>
                <w:sz w:val="26"/>
                <w:szCs w:val="26"/>
                <w:lang w:val="en-US" w:eastAsia="en-US"/>
              </w:rPr>
              <mc:AlternateContent>
                <mc:Choice Requires="wps">
                  <w:drawing>
                    <wp:anchor distT="4294967295" distB="4294967295" distL="114300" distR="114300" simplePos="0" relativeHeight="251653632" behindDoc="0" locked="0" layoutInCell="1" allowOverlap="1">
                      <wp:simplePos x="0" y="0"/>
                      <wp:positionH relativeFrom="column">
                        <wp:posOffset>1393825</wp:posOffset>
                      </wp:positionH>
                      <wp:positionV relativeFrom="paragraph">
                        <wp:posOffset>30479</wp:posOffset>
                      </wp:positionV>
                      <wp:extent cx="969645" cy="0"/>
                      <wp:effectExtent l="0" t="0" r="2095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E82B3" id="Straight Connector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75pt,2.4pt" to="18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4FrQEAAEcDAAAOAAAAZHJzL2Uyb0RvYy54bWysUsGO2yAQvVfqPyDujZOoibpWnD1ku71s&#10;20i7/YAJYBsVM2iGxM7fF9gkXbW3qhwQw8w83nvM5n4anDgZYou+kYvZXArjFWrru0b+eHn88Ek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"/>
                  </w:pict>
                </mc:Fallback>
              </mc:AlternateContent>
            </w:r>
          </w:p>
        </w:tc>
        <w:tc>
          <w:tcPr>
            <w:tcW w:w="3042" w:type="pct"/>
            <w:gridSpan w:val="2"/>
          </w:tcPr>
          <w:p w:rsidR="00BD4F2A" w:rsidRPr="00C51CEC" w:rsidRDefault="00633682" w:rsidP="00E072E0">
            <w:pPr>
              <w:spacing w:before="120"/>
              <w:jc w:val="center"/>
              <w:rPr>
                <w:rFonts w:ascii="Times New Roman" w:hAnsi="Times New Roman" w:cs="Times New Roman"/>
                <w:b/>
                <w:sz w:val="28"/>
                <w:szCs w:val="28"/>
                <w:lang w:val="en-US"/>
              </w:rPr>
            </w:pPr>
            <w:r w:rsidRPr="00B47E95">
              <w:rPr>
                <w:rFonts w:ascii="Times New Roman" w:hAnsi="Times New Roman" w:cs="Times New Roman"/>
                <w:b/>
                <w:noProof/>
                <w:sz w:val="26"/>
                <w:szCs w:val="28"/>
                <w:lang w:val="en-US" w:eastAsia="en-US"/>
              </w:rPr>
              <mc:AlternateContent>
                <mc:Choice Requires="wps">
                  <w:drawing>
                    <wp:anchor distT="4294967295" distB="4294967295" distL="114300" distR="114300" simplePos="0" relativeHeight="251659776" behindDoc="0" locked="0" layoutInCell="1" allowOverlap="1">
                      <wp:simplePos x="0" y="0"/>
                      <wp:positionH relativeFrom="column">
                        <wp:posOffset>2010410</wp:posOffset>
                      </wp:positionH>
                      <wp:positionV relativeFrom="paragraph">
                        <wp:posOffset>495934</wp:posOffset>
                      </wp:positionV>
                      <wp:extent cx="1906270" cy="0"/>
                      <wp:effectExtent l="0" t="0" r="1778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29495"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3pt,39.05pt" to="308.4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hsAEAAEgDAAAOAAAAZHJzL2Uyb0RvYy54bWysU8Fu2zAMvQ/YPwi6L3YCtFu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"/>
                  </w:pict>
                </mc:Fallback>
              </mc:AlternateContent>
            </w:r>
            <w:r w:rsidR="00BD4F2A" w:rsidRPr="00B47E95">
              <w:rPr>
                <w:rFonts w:ascii="Times New Roman" w:hAnsi="Times New Roman" w:cs="Times New Roman"/>
                <w:b/>
                <w:sz w:val="26"/>
                <w:szCs w:val="28"/>
              </w:rPr>
              <w:t>CỘNG HÒA XÃ HỘI CHỦ NGHĨA VIỆT NAM</w:t>
            </w:r>
            <w:r w:rsidR="00BD4F2A" w:rsidRPr="00B47E95">
              <w:rPr>
                <w:rFonts w:ascii="Times New Roman" w:hAnsi="Times New Roman" w:cs="Times New Roman"/>
                <w:b/>
                <w:sz w:val="26"/>
                <w:szCs w:val="28"/>
              </w:rPr>
              <w:br/>
            </w:r>
            <w:r w:rsidR="00BD4F2A" w:rsidRPr="00B47E95">
              <w:rPr>
                <w:rFonts w:ascii="Times New Roman" w:hAnsi="Times New Roman" w:cs="Times New Roman"/>
                <w:b/>
                <w:sz w:val="28"/>
                <w:szCs w:val="28"/>
              </w:rPr>
              <w:t>Độc lập - Tự do - Hạnh phúc</w:t>
            </w:r>
          </w:p>
        </w:tc>
      </w:tr>
      <w:tr w:rsidR="00BD4F2A" w:rsidRPr="00B47E95" w:rsidTr="00E072E0">
        <w:tc>
          <w:tcPr>
            <w:tcW w:w="2097" w:type="pct"/>
            <w:gridSpan w:val="2"/>
          </w:tcPr>
          <w:p w:rsidR="00BD4F2A" w:rsidRPr="00B47E95" w:rsidRDefault="00BD4F2A" w:rsidP="00F27B7F">
            <w:pPr>
              <w:spacing w:before="120"/>
              <w:jc w:val="center"/>
              <w:rPr>
                <w:rFonts w:ascii="Times New Roman" w:hAnsi="Times New Roman" w:cs="Times New Roman"/>
                <w:sz w:val="28"/>
                <w:szCs w:val="28"/>
              </w:rPr>
            </w:pPr>
          </w:p>
        </w:tc>
        <w:tc>
          <w:tcPr>
            <w:tcW w:w="2903" w:type="pct"/>
          </w:tcPr>
          <w:p w:rsidR="00BD4F2A" w:rsidRPr="00B47E95" w:rsidRDefault="00E072E0" w:rsidP="009C7020">
            <w:pPr>
              <w:jc w:val="center"/>
              <w:rPr>
                <w:rFonts w:ascii="Times New Roman" w:hAnsi="Times New Roman" w:cs="Times New Roman"/>
                <w:i/>
                <w:sz w:val="28"/>
                <w:szCs w:val="28"/>
              </w:rPr>
            </w:pPr>
            <w:r w:rsidRPr="00B47E95">
              <w:rPr>
                <w:rFonts w:ascii="Times New Roman" w:hAnsi="Times New Roman" w:cs="Times New Roman"/>
                <w:i/>
                <w:iCs/>
                <w:sz w:val="28"/>
                <w:szCs w:val="28"/>
                <w:lang w:val="en-US"/>
              </w:rPr>
              <w:t>Cao Bằng</w:t>
            </w:r>
            <w:r w:rsidR="00BD4F2A" w:rsidRPr="00B47E95">
              <w:rPr>
                <w:rFonts w:ascii="Times New Roman" w:hAnsi="Times New Roman" w:cs="Times New Roman"/>
                <w:i/>
                <w:iCs/>
                <w:sz w:val="28"/>
                <w:szCs w:val="28"/>
              </w:rPr>
              <w:t xml:space="preserve">, ngày </w:t>
            </w:r>
            <w:r w:rsidR="00B33F9A" w:rsidRPr="00B47E95">
              <w:rPr>
                <w:rFonts w:ascii="Times New Roman" w:hAnsi="Times New Roman" w:cs="Times New Roman"/>
                <w:i/>
                <w:iCs/>
                <w:sz w:val="28"/>
                <w:szCs w:val="28"/>
                <w:lang w:val="en-US"/>
              </w:rPr>
              <w:t xml:space="preserve">   </w:t>
            </w:r>
            <w:r w:rsidR="00757751" w:rsidRPr="00B47E95">
              <w:rPr>
                <w:rFonts w:ascii="Times New Roman" w:hAnsi="Times New Roman" w:cs="Times New Roman"/>
                <w:i/>
                <w:iCs/>
                <w:sz w:val="28"/>
                <w:szCs w:val="28"/>
              </w:rPr>
              <w:t xml:space="preserve"> tháng</w:t>
            </w:r>
            <w:r w:rsidR="009C7020" w:rsidRPr="00B47E95">
              <w:rPr>
                <w:rFonts w:ascii="Times New Roman" w:hAnsi="Times New Roman" w:cs="Times New Roman"/>
                <w:i/>
                <w:iCs/>
                <w:sz w:val="28"/>
                <w:szCs w:val="28"/>
                <w:lang w:val="en-US"/>
              </w:rPr>
              <w:t xml:space="preserve"> </w:t>
            </w:r>
            <w:r w:rsidR="005C0D59">
              <w:rPr>
                <w:rFonts w:ascii="Times New Roman" w:hAnsi="Times New Roman" w:cs="Times New Roman"/>
                <w:i/>
                <w:iCs/>
                <w:sz w:val="28"/>
                <w:szCs w:val="28"/>
                <w:lang w:val="en-US"/>
              </w:rPr>
              <w:t>01</w:t>
            </w:r>
            <w:r w:rsidR="00BD4F2A" w:rsidRPr="00B47E95">
              <w:rPr>
                <w:rFonts w:ascii="Times New Roman" w:hAnsi="Times New Roman" w:cs="Times New Roman"/>
                <w:i/>
                <w:iCs/>
                <w:sz w:val="28"/>
                <w:szCs w:val="28"/>
              </w:rPr>
              <w:t xml:space="preserve"> năm </w:t>
            </w:r>
            <w:r w:rsidR="004D491E" w:rsidRPr="00B47E95">
              <w:rPr>
                <w:rFonts w:ascii="Times New Roman" w:hAnsi="Times New Roman" w:cs="Times New Roman"/>
                <w:i/>
                <w:iCs/>
                <w:sz w:val="28"/>
                <w:szCs w:val="28"/>
                <w:lang w:val="en-US"/>
              </w:rPr>
              <w:t>202</w:t>
            </w:r>
            <w:r w:rsidR="005C0D59">
              <w:rPr>
                <w:rFonts w:ascii="Times New Roman" w:hAnsi="Times New Roman" w:cs="Times New Roman"/>
                <w:i/>
                <w:iCs/>
                <w:sz w:val="28"/>
                <w:szCs w:val="28"/>
                <w:lang w:val="en-US"/>
              </w:rPr>
              <w:t>6</w:t>
            </w:r>
          </w:p>
        </w:tc>
      </w:tr>
    </w:tbl>
    <w:p w:rsidR="00BD4F2A" w:rsidRPr="00B47E95" w:rsidRDefault="00BD4F2A" w:rsidP="00BD4F2A">
      <w:pPr>
        <w:spacing w:before="120"/>
        <w:rPr>
          <w:rFonts w:ascii="Times New Roman" w:hAnsi="Times New Roman" w:cs="Times New Roman"/>
          <w:b/>
          <w:bCs/>
          <w:sz w:val="28"/>
          <w:szCs w:val="28"/>
          <w:lang w:val="en-US"/>
        </w:rPr>
      </w:pPr>
    </w:p>
    <w:p w:rsidR="00B47E95" w:rsidRPr="00B47E95" w:rsidRDefault="00B47E95" w:rsidP="0071581F">
      <w:pPr>
        <w:pStyle w:val="NormalWeb"/>
        <w:spacing w:before="0" w:beforeAutospacing="0" w:after="0" w:afterAutospacing="0"/>
        <w:jc w:val="center"/>
        <w:rPr>
          <w:b/>
          <w:bCs/>
          <w:sz w:val="28"/>
          <w:szCs w:val="28"/>
        </w:rPr>
      </w:pPr>
      <w:r w:rsidRPr="00B47E95">
        <w:rPr>
          <w:b/>
          <w:bCs/>
          <w:sz w:val="28"/>
          <w:szCs w:val="28"/>
        </w:rPr>
        <w:t>BẢN SO SÁNH, THUYẾT MINH N ỘI DUNG QUY ĐỊNH QUY CHẾ QUẢN LÝ VÀ SỬ DỤNG NGUỒN VỐN NGÂN SÁCH ĐỊA PHƯƠNG UỶ THÁC QUA NGÂN HÀNG CHÍNH SÁCH XÃ HỘI ĐỂ CHO VAY ĐỐI VỚI NGƯỜI NGHÈO VÀ CÁC ĐỐI TƯỢNG CHÍNH SÁCH KHÁC TRÊN ĐỊA BÀN TỈNH CAO BẰNG</w:t>
      </w:r>
    </w:p>
    <w:p w:rsidR="00BD4F2A" w:rsidRPr="00B47E95" w:rsidRDefault="00BD4F2A" w:rsidP="00E072E0">
      <w:pPr>
        <w:jc w:val="center"/>
        <w:rPr>
          <w:rFonts w:ascii="Times New Roman" w:hAnsi="Times New Roman" w:cs="Times New Roman"/>
          <w:b/>
          <w:bCs/>
          <w:strike/>
          <w:lang w:val="en-US"/>
        </w:rPr>
      </w:pPr>
    </w:p>
    <w:p w:rsidR="00A45885" w:rsidRPr="00B47E95" w:rsidRDefault="00A45885" w:rsidP="003B6DEF">
      <w:pPr>
        <w:jc w:val="center"/>
        <w:rPr>
          <w:rFonts w:ascii="Times New Roman" w:hAnsi="Times New Roman" w:cs="Times New Roman"/>
          <w:b/>
          <w:bCs/>
          <w:sz w:val="25"/>
          <w:szCs w:val="25"/>
          <w:lang w:val="en-US"/>
        </w:rPr>
      </w:pPr>
    </w:p>
    <w:tbl>
      <w:tblPr>
        <w:tblOverlap w:val="neve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 w:type="dxa"/>
          <w:right w:w="10" w:type="dxa"/>
        </w:tblCellMar>
        <w:tblLook w:val="04A0" w:firstRow="1" w:lastRow="0" w:firstColumn="1" w:lastColumn="0" w:noHBand="0" w:noVBand="1"/>
      </w:tblPr>
      <w:tblGrid>
        <w:gridCol w:w="5074"/>
        <w:gridCol w:w="5245"/>
        <w:gridCol w:w="4194"/>
      </w:tblGrid>
      <w:tr w:rsidR="00DF63F2" w:rsidRPr="00B47E95" w:rsidTr="00C4105A">
        <w:trPr>
          <w:trHeight w:val="1989"/>
          <w:jc w:val="center"/>
        </w:trPr>
        <w:tc>
          <w:tcPr>
            <w:tcW w:w="1748" w:type="pct"/>
            <w:shd w:val="clear" w:color="auto" w:fill="FFFFFF"/>
            <w:vAlign w:val="center"/>
          </w:tcPr>
          <w:p w:rsidR="00256699" w:rsidRPr="00B47E95" w:rsidRDefault="00256699" w:rsidP="00C51CEC">
            <w:pPr>
              <w:spacing w:before="120" w:after="120"/>
              <w:ind w:left="57" w:right="57"/>
              <w:jc w:val="both"/>
              <w:rPr>
                <w:rFonts w:ascii="Times New Roman" w:hAnsi="Times New Roman" w:cs="Times New Roman"/>
                <w:b/>
                <w:bCs/>
                <w:color w:val="000000" w:themeColor="text1"/>
                <w:sz w:val="26"/>
                <w:szCs w:val="26"/>
                <w:lang w:val="en-US"/>
              </w:rPr>
            </w:pPr>
            <w:r w:rsidRPr="00B47E95">
              <w:rPr>
                <w:rFonts w:ascii="Times New Roman" w:hAnsi="Times New Roman" w:cs="Times New Roman"/>
                <w:b/>
                <w:bCs/>
                <w:color w:val="000000" w:themeColor="text1"/>
                <w:sz w:val="26"/>
                <w:szCs w:val="26"/>
                <w:lang w:val="en-US"/>
              </w:rPr>
              <w:t>Văn bản quy định hiện hành:</w:t>
            </w:r>
          </w:p>
          <w:p w:rsidR="00BD4F2A" w:rsidRPr="00B47E95" w:rsidRDefault="009A23BC" w:rsidP="00C51CEC">
            <w:pPr>
              <w:spacing w:before="120" w:after="120"/>
              <w:ind w:left="57" w:right="57"/>
              <w:jc w:val="both"/>
              <w:rPr>
                <w:rFonts w:ascii="Times New Roman" w:hAnsi="Times New Roman" w:cs="Times New Roman"/>
                <w:b/>
                <w:color w:val="auto"/>
                <w:sz w:val="26"/>
                <w:szCs w:val="26"/>
                <w:lang w:val="en-US" w:eastAsia="en-US"/>
              </w:rPr>
            </w:pPr>
            <w:r w:rsidRPr="00B47E95">
              <w:rPr>
                <w:rFonts w:ascii="Times New Roman" w:hAnsi="Times New Roman" w:cs="Times New Roman"/>
                <w:b/>
                <w:bCs/>
                <w:color w:val="000000" w:themeColor="text1"/>
                <w:sz w:val="26"/>
                <w:szCs w:val="26"/>
              </w:rPr>
              <w:t xml:space="preserve">Quyết định số </w:t>
            </w:r>
            <w:r w:rsidR="008C4F47" w:rsidRPr="00B47E95">
              <w:rPr>
                <w:rFonts w:ascii="Times New Roman" w:hAnsi="Times New Roman" w:cs="Times New Roman"/>
                <w:b/>
                <w:bCs/>
                <w:color w:val="000000" w:themeColor="text1"/>
                <w:sz w:val="26"/>
                <w:szCs w:val="26"/>
                <w:lang w:val="en-US"/>
              </w:rPr>
              <w:t>1421/QĐ-UBND ngày 31 tháng 8 năm 2017 và Quyết định số 551/QĐ-UBND ngày 15 tháng 5 năm 2018 của UBND tỉnh Cao Bằng</w:t>
            </w:r>
          </w:p>
        </w:tc>
        <w:tc>
          <w:tcPr>
            <w:tcW w:w="1807" w:type="pct"/>
            <w:shd w:val="clear" w:color="auto" w:fill="FFFFFF"/>
            <w:vAlign w:val="center"/>
          </w:tcPr>
          <w:p w:rsidR="00BD4F2A" w:rsidRPr="00B47E95" w:rsidRDefault="009A23BC" w:rsidP="00C51CEC">
            <w:pPr>
              <w:pStyle w:val="NormalWeb"/>
              <w:spacing w:before="120" w:beforeAutospacing="0" w:after="120" w:afterAutospacing="0"/>
              <w:ind w:left="57" w:right="57"/>
              <w:jc w:val="both"/>
              <w:rPr>
                <w:b/>
                <w:bCs/>
                <w:color w:val="000000" w:themeColor="text1"/>
                <w:sz w:val="26"/>
                <w:szCs w:val="26"/>
              </w:rPr>
            </w:pPr>
            <w:r w:rsidRPr="00B47E95">
              <w:rPr>
                <w:b/>
                <w:sz w:val="26"/>
                <w:szCs w:val="26"/>
              </w:rPr>
              <w:t xml:space="preserve">Quyết định </w:t>
            </w:r>
            <w:r w:rsidR="008C4F47" w:rsidRPr="00B47E95">
              <w:rPr>
                <w:b/>
                <w:color w:val="000000" w:themeColor="text1"/>
                <w:sz w:val="26"/>
                <w:szCs w:val="26"/>
              </w:rPr>
              <w:t>ban hành Quy chế quản lý và sử dụng nguồn vốn ngân sách địa phương uỷ thác qua Ngân hàng Chính sách xã hội để cho vay đối với người nghèo và các đối tượng chính sách khác trên địa bàn tỉnh Cao Bằng</w:t>
            </w:r>
          </w:p>
        </w:tc>
        <w:tc>
          <w:tcPr>
            <w:tcW w:w="1445" w:type="pct"/>
            <w:shd w:val="clear" w:color="auto" w:fill="FFFFFF"/>
            <w:vAlign w:val="center"/>
          </w:tcPr>
          <w:p w:rsidR="00BD4F2A" w:rsidRPr="00B47E95" w:rsidRDefault="002B4DC6" w:rsidP="00C51CEC">
            <w:pPr>
              <w:spacing w:before="120" w:after="120"/>
              <w:ind w:right="41" w:firstLine="62"/>
              <w:jc w:val="center"/>
              <w:rPr>
                <w:rFonts w:ascii="Times New Roman" w:hAnsi="Times New Roman" w:cs="Times New Roman"/>
                <w:b/>
                <w:bCs/>
                <w:sz w:val="26"/>
                <w:szCs w:val="26"/>
                <w:lang w:val="en-US"/>
              </w:rPr>
            </w:pPr>
            <w:r w:rsidRPr="00B47E95">
              <w:rPr>
                <w:rFonts w:ascii="Times New Roman" w:hAnsi="Times New Roman" w:cs="Times New Roman"/>
                <w:b/>
                <w:bCs/>
                <w:sz w:val="26"/>
                <w:szCs w:val="26"/>
                <w:lang w:val="en-US"/>
              </w:rPr>
              <w:t>Thuyết minh</w:t>
            </w:r>
          </w:p>
        </w:tc>
      </w:tr>
      <w:tr w:rsidR="00B47E95" w:rsidRPr="00C51CEC"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1. Phạm vi điều chỉnh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1. Phạm vi điều chỉnh</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r w:rsidR="00B47E95" w:rsidRPr="00C51CEC"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2. Đối tượng áp dụng</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2. Đối tượng áp dụng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r w:rsidR="00B47E95" w:rsidRPr="00C51CEC"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3. Nguồn vốn NSĐP ủy thác qua</w:t>
            </w:r>
            <w:r w:rsidR="00C51CEC">
              <w:rPr>
                <w:rFonts w:ascii="Times New Roman" w:hAnsi="Times New Roman" w:cs="Times New Roman"/>
                <w:b/>
                <w:bCs/>
                <w:color w:val="000000" w:themeColor="text1"/>
                <w:sz w:val="26"/>
                <w:szCs w:val="26"/>
                <w:lang w:val="en-US"/>
              </w:rPr>
              <w:t xml:space="preserve"> </w:t>
            </w:r>
            <w:r w:rsidRPr="00C51CEC">
              <w:rPr>
                <w:rFonts w:ascii="Times New Roman" w:hAnsi="Times New Roman" w:cs="Times New Roman"/>
                <w:b/>
                <w:bCs/>
                <w:color w:val="000000" w:themeColor="text1"/>
                <w:sz w:val="26"/>
                <w:szCs w:val="26"/>
                <w:lang w:val="en-US"/>
              </w:rPr>
              <w:t>NHCSXH để cho vay người nghèo và các đối</w:t>
            </w:r>
            <w:r w:rsidR="00C51CEC">
              <w:rPr>
                <w:rFonts w:ascii="Times New Roman" w:hAnsi="Times New Roman" w:cs="Times New Roman"/>
                <w:b/>
                <w:bCs/>
                <w:color w:val="000000" w:themeColor="text1"/>
                <w:sz w:val="26"/>
                <w:szCs w:val="26"/>
                <w:lang w:val="en-US"/>
              </w:rPr>
              <w:t xml:space="preserve"> </w:t>
            </w:r>
            <w:r w:rsidRPr="00C51CEC">
              <w:rPr>
                <w:rFonts w:ascii="Times New Roman" w:hAnsi="Times New Roman" w:cs="Times New Roman"/>
                <w:b/>
                <w:bCs/>
                <w:color w:val="000000" w:themeColor="text1"/>
                <w:sz w:val="26"/>
                <w:szCs w:val="26"/>
                <w:lang w:val="en-US"/>
              </w:rPr>
              <w:t>tượng chính sách khác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3. Nguồn vốn NSĐP ủy thác qua</w:t>
            </w:r>
            <w:r w:rsidR="00C51CEC">
              <w:rPr>
                <w:rFonts w:ascii="Times New Roman" w:hAnsi="Times New Roman" w:cs="Times New Roman"/>
                <w:b/>
                <w:bCs/>
                <w:color w:val="000000" w:themeColor="text1"/>
                <w:sz w:val="26"/>
                <w:szCs w:val="26"/>
                <w:lang w:val="en-US"/>
              </w:rPr>
              <w:t xml:space="preserve"> </w:t>
            </w:r>
            <w:r w:rsidRPr="00C51CEC">
              <w:rPr>
                <w:rFonts w:ascii="Times New Roman" w:hAnsi="Times New Roman" w:cs="Times New Roman"/>
                <w:b/>
                <w:bCs/>
                <w:color w:val="000000" w:themeColor="text1"/>
                <w:sz w:val="26"/>
                <w:szCs w:val="26"/>
                <w:lang w:val="en-US"/>
              </w:rPr>
              <w:t>NHCSXH để cho vay người nghèo và các đối tượng chính sách khác trên địa bàn tỉnh Cao</w:t>
            </w:r>
            <w:r w:rsidR="00C51CEC">
              <w:rPr>
                <w:rFonts w:ascii="Times New Roman" w:hAnsi="Times New Roman" w:cs="Times New Roman"/>
                <w:b/>
                <w:bCs/>
                <w:color w:val="000000" w:themeColor="text1"/>
                <w:sz w:val="26"/>
                <w:szCs w:val="26"/>
                <w:lang w:val="en-US"/>
              </w:rPr>
              <w:t xml:space="preserve"> </w:t>
            </w:r>
            <w:r w:rsidRPr="00C51CEC">
              <w:rPr>
                <w:rFonts w:ascii="Times New Roman" w:hAnsi="Times New Roman" w:cs="Times New Roman"/>
                <w:b/>
                <w:bCs/>
                <w:color w:val="000000" w:themeColor="text1"/>
                <w:sz w:val="26"/>
                <w:szCs w:val="26"/>
                <w:lang w:val="en-US"/>
              </w:rPr>
              <w:t>Bằng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b/>
                <w:bCs/>
                <w:color w:val="000000" w:themeColor="text1"/>
                <w:sz w:val="26"/>
                <w:szCs w:val="26"/>
                <w:lang w:val="en-US"/>
              </w:rPr>
            </w:pP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1. Nguồn vốn địa phương trích hằng năm (bao gồm ngân sách cấp tỉnh, và ngân sách cấp huyện tùy theo tình hình thực tế của từng địa phương và khả năng cân đối ngân sách) ủy </w:t>
            </w:r>
            <w:r w:rsidRPr="00C51CEC">
              <w:rPr>
                <w:rFonts w:ascii="Times New Roman" w:hAnsi="Times New Roman" w:cs="Times New Roman"/>
                <w:color w:val="000000" w:themeColor="text1"/>
                <w:sz w:val="26"/>
                <w:szCs w:val="26"/>
                <w:lang w:val="en-US"/>
              </w:rPr>
              <w:lastRenderedPageBreak/>
              <w:t>thác qua NHCSXH để cho vay đối với người nghèo và các đối tượng chính sách khác trên địa bàn tỉnh.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1. Nguồn vốn ngân sách cấp tỉnh (chi đầu tư phát triển) trích hàng năm tùy theo tình hình thực tế của địa phương và khả năng cân đối ngân sách.</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Sửa đổi </w:t>
            </w:r>
            <w:r w:rsidR="00C51CEC" w:rsidRPr="00C51CEC">
              <w:rPr>
                <w:rFonts w:ascii="Times New Roman" w:hAnsi="Times New Roman" w:cs="Times New Roman"/>
                <w:color w:val="000000" w:themeColor="text1"/>
                <w:sz w:val="26"/>
                <w:szCs w:val="26"/>
                <w:lang w:val="en-US"/>
              </w:rPr>
              <w:t xml:space="preserve">để lược </w:t>
            </w:r>
            <w:r w:rsidRPr="00C51CEC">
              <w:rPr>
                <w:rFonts w:ascii="Times New Roman" w:hAnsi="Times New Roman" w:cs="Times New Roman"/>
                <w:color w:val="000000" w:themeColor="text1"/>
                <w:sz w:val="26"/>
                <w:szCs w:val="26"/>
                <w:lang w:val="en-US"/>
              </w:rPr>
              <w:t xml:space="preserve">bỏ các nội dung liên quan đến cấp huyện do thực hiện chính quyền địa phương 2 cấp; trong đó chỉ có cấp tỉnh thực hiện uỷ thác </w:t>
            </w:r>
            <w:r w:rsidRPr="00C51CEC">
              <w:rPr>
                <w:rFonts w:ascii="Times New Roman" w:hAnsi="Times New Roman" w:cs="Times New Roman"/>
                <w:color w:val="000000" w:themeColor="text1"/>
                <w:sz w:val="26"/>
                <w:szCs w:val="26"/>
                <w:lang w:val="en-US"/>
              </w:rPr>
              <w:lastRenderedPageBreak/>
              <w:t>ngân sách địa phương qua NHCSXH theo Khoản 1, Điều 1 Thông tư số 84/2025/TT-BTC ngày 19/8/2025 của Bộ Tài chính</w:t>
            </w:r>
          </w:p>
        </w:tc>
      </w:tr>
      <w:tr w:rsidR="00C51CEC" w:rsidRPr="00C51CEC" w:rsidTr="00C4105A">
        <w:trPr>
          <w:trHeight w:val="20"/>
          <w:jc w:val="center"/>
        </w:trPr>
        <w:tc>
          <w:tcPr>
            <w:tcW w:w="1748" w:type="pct"/>
            <w:shd w:val="clear" w:color="auto" w:fill="FFFFFF"/>
          </w:tcPr>
          <w:p w:rsidR="00C51CEC" w:rsidRPr="00C51CEC" w:rsidRDefault="00C51CEC"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2. Nguồn tiền lãi thu được từ cho vay đối với người nghèo và các đối tượng chính sách khác được trích hàng tháng để bổ sung vào nguồn vốn ủy thác qua NHCSXH theo quy định tại điểm d, mục 1, Điều 10 Quy chế này.</w:t>
            </w:r>
          </w:p>
        </w:tc>
        <w:tc>
          <w:tcPr>
            <w:tcW w:w="1807" w:type="pct"/>
            <w:shd w:val="clear" w:color="auto" w:fill="FFFFFF"/>
          </w:tcPr>
          <w:p w:rsidR="00C51CEC" w:rsidRPr="00C51CEC" w:rsidRDefault="00C51CEC"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Nguồn tiền lãi thu được từ cho vay đối với người nghèo và các đối tượng chính sách khác từ nguồn vốn ngân sách tỉnh ủy thác, được trích bổ sung vào nguồn vốn ủy thác theo quy định tại điểm d Khoản 1, điểm 2.3 khoản 2 Điều 10 Quy chế này.</w:t>
            </w:r>
          </w:p>
        </w:tc>
        <w:tc>
          <w:tcPr>
            <w:tcW w:w="1445" w:type="pct"/>
            <w:shd w:val="clear" w:color="auto" w:fill="FFFFFF"/>
          </w:tcPr>
          <w:p w:rsidR="00C51CEC" w:rsidRPr="00C51CEC" w:rsidRDefault="00C51CEC"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Sửa tên khoản, điểm dẫn chiếu để phù hợp với dự thảo Quy chế mới.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Nguồn vốn bổ sung trong trường hợp Quỹ dự phòng rủi ro tín dụng sau khi được sử dụng để xử lý xóa nợ bị rủi ro lớn hơn số dư Quỹ dự phòng rủi ro tối đa, được bổ sung vào nguồn vốn ủy thác để cho vay theo quy định tại điểm c, mục 4, Điều 11 Quy chế này</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Nguồn vốn bổ sung trong trường hợp Quỹ dự phòng rủi ro tín dụng sau khi được sử dụng để xử lý xóa nợ bị rủi ro lớn hơn số dư Quỹ dự phòng rủi ro tối đa, được bổ sung vào nguồn vốn ủy thác để cho vay theo quy định tại khoản 5 Điều 11 Quy chế này.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Sửa tên khoản, điểm phù hợp với Quy chế mới. Nội dung 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4. Các nguồn khác theo quy định của pháp luật.</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Bổ sung khoản 4 nhằm bao quát các nguồn vốn uỷ thác </w:t>
            </w:r>
          </w:p>
        </w:tc>
      </w:tr>
      <w:tr w:rsidR="00B47E95" w:rsidRPr="00B47E95" w:rsidTr="00C4105A">
        <w:trPr>
          <w:trHeight w:val="20"/>
          <w:jc w:val="center"/>
        </w:trPr>
        <w:tc>
          <w:tcPr>
            <w:tcW w:w="1748" w:type="pct"/>
            <w:shd w:val="clear" w:color="auto" w:fill="FFFFFF"/>
          </w:tcPr>
          <w:p w:rsidR="00C51CEC" w:rsidRPr="00C51CEC" w:rsidRDefault="00B47E95" w:rsidP="00C51CEC">
            <w:pPr>
              <w:spacing w:before="120" w:after="120"/>
              <w:ind w:right="57"/>
              <w:jc w:val="both"/>
              <w:rPr>
                <w:rFonts w:ascii="Times New Roman" w:hAnsi="Times New Roman" w:cs="Times New Roman"/>
                <w:b/>
                <w:bCs/>
                <w:color w:val="000000" w:themeColor="text1"/>
                <w:sz w:val="26"/>
                <w:szCs w:val="26"/>
                <w:lang w:val="en-US"/>
              </w:rPr>
            </w:pPr>
            <w:r w:rsidRPr="00C51CEC">
              <w:rPr>
                <w:rFonts w:ascii="Times New Roman" w:hAnsi="Times New Roman" w:cs="Times New Roman"/>
                <w:b/>
                <w:bCs/>
                <w:color w:val="000000" w:themeColor="text1"/>
                <w:sz w:val="26"/>
                <w:szCs w:val="26"/>
                <w:lang w:val="en-US"/>
              </w:rPr>
              <w:t>Điều 4. Ký hợp đồng ủy thác</w:t>
            </w:r>
            <w:r w:rsidR="00C51CEC" w:rsidRPr="00C51CEC">
              <w:rPr>
                <w:rFonts w:ascii="Times New Roman" w:hAnsi="Times New Roman" w:cs="Times New Roman"/>
                <w:b/>
                <w:bCs/>
                <w:color w:val="000000" w:themeColor="text1"/>
                <w:sz w:val="26"/>
                <w:szCs w:val="26"/>
                <w:lang w:val="en-US"/>
              </w:rPr>
              <w:t xml:space="preserve"> </w:t>
            </w:r>
            <w:r w:rsidRPr="00C51CEC">
              <w:rPr>
                <w:rFonts w:ascii="Times New Roman" w:hAnsi="Times New Roman" w:cs="Times New Roman"/>
                <w:b/>
                <w:bCs/>
                <w:color w:val="000000" w:themeColor="text1"/>
                <w:sz w:val="26"/>
                <w:szCs w:val="26"/>
                <w:lang w:val="en-US"/>
              </w:rPr>
              <w:t>UBND các cấp uỷ quyền cho cơ quan chuyên môn ký hợp đồng uỷ thác với NHCSXH</w:t>
            </w:r>
          </w:p>
          <w:p w:rsid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Cấp tỉnh: UBND tỉnh ủy quyền cho Sở Tài chính tỉnh ký hợp đồng ủy thác với Chi nhánh NHCSXH tỉnh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2. Cấp huyện:  UBND huyện ủy quyền cho Phòng Tài chính - Kế hoạch huyện ký hợp đồng ủy thác với Phòng giao dịch NHCSXH </w:t>
            </w:r>
            <w:r w:rsidRPr="00C51CEC">
              <w:rPr>
                <w:rFonts w:ascii="Times New Roman" w:hAnsi="Times New Roman" w:cs="Times New Roman"/>
                <w:color w:val="000000" w:themeColor="text1"/>
                <w:sz w:val="26"/>
                <w:szCs w:val="26"/>
                <w:lang w:val="en-US"/>
              </w:rPr>
              <w:lastRenderedPageBreak/>
              <w:t>cấp huyện (tại Thành phố ký hợp đồng với chi nhánh NHCSXH tỉnh).</w:t>
            </w:r>
          </w:p>
        </w:tc>
        <w:tc>
          <w:tcPr>
            <w:tcW w:w="1807" w:type="pct"/>
            <w:shd w:val="clear" w:color="auto" w:fill="FFFFFF"/>
          </w:tcPr>
          <w:p w:rsid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b/>
                <w:bCs/>
                <w:color w:val="000000" w:themeColor="text1"/>
                <w:sz w:val="26"/>
                <w:szCs w:val="26"/>
                <w:lang w:val="en-US"/>
              </w:rPr>
              <w:lastRenderedPageBreak/>
              <w:t>Điều 4. Cơ quan chuyên môn được UBND cấp tỉnh giao ký hợp đồng ủy thác với Chi nhánh NHCSXH cấp tỉnh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UBND tỉnh Cao Bằng giao Sở Tài chính ký hợp đồng ủy thác với Chi nhánh NHCSXH tỉnh Cao Bằng.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Chỉnh sửa theo đúng từ ngữ quy định tại Khoản 2, Điều 1 Thông tư</w:t>
            </w:r>
            <w:r w:rsidR="007625DC">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số 84/2025/TT-BTC ngày</w:t>
            </w:r>
            <w:r w:rsidR="007625DC">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19/8/2025 của Bộ Tài chính, cụ thể:</w:t>
            </w:r>
            <w:r w:rsidR="007625DC">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 xml:space="preserve">- </w:t>
            </w:r>
            <w:r w:rsidR="007625DC">
              <w:rPr>
                <w:rFonts w:ascii="Times New Roman" w:hAnsi="Times New Roman" w:cs="Times New Roman"/>
                <w:color w:val="000000" w:themeColor="text1"/>
                <w:sz w:val="26"/>
                <w:szCs w:val="26"/>
                <w:lang w:val="en-US"/>
              </w:rPr>
              <w:t>Tại khoản 1 thay</w:t>
            </w:r>
            <w:r w:rsidRPr="00C51CEC">
              <w:rPr>
                <w:rFonts w:ascii="Times New Roman" w:hAnsi="Times New Roman" w:cs="Times New Roman"/>
                <w:color w:val="000000" w:themeColor="text1"/>
                <w:sz w:val="26"/>
                <w:szCs w:val="26"/>
                <w:lang w:val="en-US"/>
              </w:rPr>
              <w:t xml:space="preserve"> từ "</w:t>
            </w:r>
            <w:r w:rsidRPr="007625DC">
              <w:rPr>
                <w:rFonts w:ascii="Times New Roman" w:hAnsi="Times New Roman" w:cs="Times New Roman"/>
                <w:i/>
                <w:iCs/>
                <w:color w:val="000000" w:themeColor="text1"/>
                <w:sz w:val="26"/>
                <w:szCs w:val="26"/>
                <w:lang w:val="en-US"/>
              </w:rPr>
              <w:t>ủy quyền cho Sở Tài chính"</w:t>
            </w:r>
            <w:r w:rsidRPr="00C51CEC">
              <w:rPr>
                <w:rFonts w:ascii="Times New Roman" w:hAnsi="Times New Roman" w:cs="Times New Roman"/>
                <w:color w:val="000000" w:themeColor="text1"/>
                <w:sz w:val="26"/>
                <w:szCs w:val="26"/>
                <w:lang w:val="en-US"/>
              </w:rPr>
              <w:t xml:space="preserve"> thành </w:t>
            </w:r>
            <w:r w:rsidRPr="007625DC">
              <w:rPr>
                <w:rFonts w:ascii="Times New Roman" w:hAnsi="Times New Roman" w:cs="Times New Roman"/>
                <w:i/>
                <w:iCs/>
                <w:color w:val="000000" w:themeColor="text1"/>
                <w:sz w:val="26"/>
                <w:szCs w:val="26"/>
                <w:lang w:val="en-US"/>
              </w:rPr>
              <w:t>"giao Sở Tài chính"</w:t>
            </w:r>
            <w:r w:rsidRPr="00C51CEC">
              <w:rPr>
                <w:rFonts w:ascii="Times New Roman" w:hAnsi="Times New Roman" w:cs="Times New Roman"/>
                <w:color w:val="000000" w:themeColor="text1"/>
                <w:sz w:val="26"/>
                <w:szCs w:val="26"/>
                <w:lang w:val="en-US"/>
              </w:rPr>
              <w:br/>
              <w:t xml:space="preserve">- </w:t>
            </w:r>
            <w:r w:rsidR="00CA4E27">
              <w:rPr>
                <w:rFonts w:ascii="Times New Roman" w:hAnsi="Times New Roman" w:cs="Times New Roman"/>
                <w:color w:val="000000" w:themeColor="text1"/>
                <w:sz w:val="26"/>
                <w:szCs w:val="26"/>
                <w:lang w:val="en-US"/>
              </w:rPr>
              <w:t>Lược b</w:t>
            </w:r>
            <w:r w:rsidRPr="00C51CEC">
              <w:rPr>
                <w:rFonts w:ascii="Times New Roman" w:hAnsi="Times New Roman" w:cs="Times New Roman"/>
                <w:color w:val="000000" w:themeColor="text1"/>
                <w:sz w:val="26"/>
                <w:szCs w:val="26"/>
                <w:lang w:val="en-US"/>
              </w:rPr>
              <w:t>ỏ Khoản 2</w:t>
            </w:r>
          </w:p>
        </w:tc>
      </w:tr>
      <w:tr w:rsidR="00B47E95" w:rsidRPr="00B47E95" w:rsidTr="00C4105A">
        <w:trPr>
          <w:trHeight w:val="20"/>
          <w:jc w:val="center"/>
        </w:trPr>
        <w:tc>
          <w:tcPr>
            <w:tcW w:w="1748" w:type="pct"/>
            <w:shd w:val="clear" w:color="auto" w:fill="FFFFFF"/>
          </w:tcPr>
          <w:p w:rsidR="00937AB2" w:rsidRPr="00937AB2" w:rsidRDefault="00B47E95" w:rsidP="00937AB2">
            <w:pPr>
              <w:spacing w:before="120" w:after="120"/>
              <w:ind w:left="57" w:right="57"/>
              <w:jc w:val="both"/>
              <w:rPr>
                <w:rFonts w:ascii="Times New Roman" w:hAnsi="Times New Roman" w:cs="Times New Roman"/>
                <w:b/>
                <w:bCs/>
                <w:color w:val="000000" w:themeColor="text1"/>
                <w:sz w:val="26"/>
                <w:szCs w:val="26"/>
                <w:lang w:val="en-US"/>
              </w:rPr>
            </w:pPr>
            <w:r w:rsidRPr="00937AB2">
              <w:rPr>
                <w:rFonts w:ascii="Times New Roman" w:hAnsi="Times New Roman" w:cs="Times New Roman"/>
                <w:b/>
                <w:bCs/>
                <w:color w:val="000000" w:themeColor="text1"/>
                <w:sz w:val="26"/>
                <w:szCs w:val="26"/>
                <w:lang w:val="en-US"/>
              </w:rPr>
              <w:t>Điều 5. Quy trình chuyển nguồn vốn</w:t>
            </w:r>
          </w:p>
          <w:p w:rsidR="00B47E95" w:rsidRPr="00C51CEC" w:rsidRDefault="00B47E95" w:rsidP="00937AB2">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Hằng năm căn cứ vào ngân sách địa phương UBND các cấp xem xét, quyết định bổ sung nguồn vốn cho vay đối với người nghèo và các đối tượng chính sách khác hình thức cấp phát bằng lệnh chi tiền; hạch toán chi ngân sách nhà nước theo Mục lục Ngân sách nhà nước hiện hành.</w:t>
            </w:r>
            <w:r w:rsidRPr="00C51CEC">
              <w:rPr>
                <w:rFonts w:ascii="Times New Roman" w:hAnsi="Times New Roman" w:cs="Times New Roman"/>
                <w:color w:val="000000" w:themeColor="text1"/>
                <w:sz w:val="26"/>
                <w:szCs w:val="26"/>
                <w:lang w:val="en-US"/>
              </w:rPr>
              <w:br/>
              <w:t>NHCSXH theo dõi, ghi chép, hạch toán đối với nguồn vốn ngân sách địa phương uỷ thác vào hệ thống tài khoản kế toán riêng theo quy định của NHCSXH.</w:t>
            </w:r>
          </w:p>
        </w:tc>
        <w:tc>
          <w:tcPr>
            <w:tcW w:w="1807" w:type="pct"/>
            <w:shd w:val="clear" w:color="auto" w:fill="FFFFFF"/>
          </w:tcPr>
          <w:p w:rsidR="00937AB2" w:rsidRPr="00937AB2" w:rsidRDefault="00B47E95" w:rsidP="00937AB2">
            <w:pPr>
              <w:spacing w:before="120" w:after="120"/>
              <w:ind w:left="57" w:right="57"/>
              <w:jc w:val="both"/>
              <w:rPr>
                <w:rFonts w:ascii="Times New Roman" w:hAnsi="Times New Roman" w:cs="Times New Roman"/>
                <w:b/>
                <w:bCs/>
                <w:color w:val="000000" w:themeColor="text1"/>
                <w:sz w:val="26"/>
                <w:szCs w:val="26"/>
                <w:lang w:val="en-US"/>
              </w:rPr>
            </w:pPr>
            <w:r w:rsidRPr="00937AB2">
              <w:rPr>
                <w:rFonts w:ascii="Times New Roman" w:hAnsi="Times New Roman" w:cs="Times New Roman"/>
                <w:b/>
                <w:bCs/>
                <w:color w:val="000000" w:themeColor="text1"/>
                <w:sz w:val="26"/>
                <w:szCs w:val="26"/>
                <w:lang w:val="en-US"/>
              </w:rPr>
              <w:t>Điều 5. Quy trình chuyển nguồn vốn ngân sách địa phương ủy thác qua NHCSXH</w:t>
            </w:r>
          </w:p>
          <w:p w:rsidR="004078BC" w:rsidRPr="004078BC" w:rsidRDefault="004078BC" w:rsidP="004078BC">
            <w:pPr>
              <w:spacing w:before="120" w:after="120"/>
              <w:ind w:left="57" w:right="57"/>
              <w:jc w:val="both"/>
              <w:rPr>
                <w:rFonts w:ascii="Times New Roman" w:hAnsi="Times New Roman" w:cs="Times New Roman"/>
                <w:color w:val="000000" w:themeColor="text1"/>
                <w:sz w:val="26"/>
                <w:szCs w:val="26"/>
                <w:lang w:val="en-US"/>
              </w:rPr>
            </w:pPr>
            <w:r w:rsidRPr="004078BC">
              <w:rPr>
                <w:rFonts w:ascii="Times New Roman" w:hAnsi="Times New Roman" w:cs="Times New Roman"/>
                <w:color w:val="000000" w:themeColor="text1"/>
                <w:sz w:val="26"/>
                <w:szCs w:val="26"/>
                <w:lang w:val="en-US"/>
              </w:rPr>
              <w:t>1. Chi nhánh NHCSXH tỉnh xây dựng, dự kiến kế hoạch nhu cầu vốn tín dụng chính sách xã hội từ nguồn vốn sách địa phương ủy thác qua Chi nhánh NHCSXH cấp tỉnh để cho vay đối với người nghèo và các đối tượng chính sách khác trên địa bàn giai đoạn 05 năm và hàng năm, gửi Sở Tài chính báo cáo Ủy ban nhân dân tỉnh để báo cáo Hội đồng nhân dân tỉnh.</w:t>
            </w:r>
          </w:p>
          <w:p w:rsidR="004078BC" w:rsidRPr="004078BC" w:rsidRDefault="004078BC" w:rsidP="004078BC">
            <w:pPr>
              <w:spacing w:before="120" w:after="120"/>
              <w:ind w:left="57" w:right="57"/>
              <w:jc w:val="both"/>
              <w:rPr>
                <w:rFonts w:ascii="Times New Roman" w:hAnsi="Times New Roman" w:cs="Times New Roman"/>
                <w:color w:val="000000" w:themeColor="text1"/>
                <w:sz w:val="26"/>
                <w:szCs w:val="26"/>
                <w:lang w:val="en-US"/>
              </w:rPr>
            </w:pPr>
            <w:r w:rsidRPr="004078BC">
              <w:rPr>
                <w:rFonts w:ascii="Times New Roman" w:hAnsi="Times New Roman" w:cs="Times New Roman"/>
                <w:color w:val="000000" w:themeColor="text1"/>
                <w:sz w:val="26"/>
                <w:szCs w:val="26"/>
                <w:lang w:val="en-US"/>
              </w:rPr>
              <w:t>2. Căn cứ vào khả năng cân đối của ngân sách địa phương giai đoạn 05 năm và hàng năm, Sở Tài chính chủ trì, phối hợp với các sở, ngành liên quan và NHCSXH tỉnh tham mưu Ủy ban nhân dân tỉnh báo cáo Hội đồng nhân dân tỉnh xem xét, quyết định bố trí nguồn vốn ngân sách địa phương uỷ thác qua NHCSXH để cho vay theo quy định của Luật Đầu tư công, Luật Ngân sách nhà nước và các văn bản hướng dẫn.</w:t>
            </w:r>
          </w:p>
          <w:p w:rsidR="004078BC" w:rsidRPr="004078BC" w:rsidRDefault="004078BC" w:rsidP="004078BC">
            <w:pPr>
              <w:spacing w:before="120" w:after="120"/>
              <w:ind w:left="57" w:right="57"/>
              <w:jc w:val="both"/>
              <w:rPr>
                <w:rFonts w:ascii="Times New Roman" w:hAnsi="Times New Roman" w:cs="Times New Roman"/>
                <w:color w:val="000000" w:themeColor="text1"/>
                <w:sz w:val="26"/>
                <w:szCs w:val="26"/>
                <w:lang w:val="en-US"/>
              </w:rPr>
            </w:pPr>
            <w:r w:rsidRPr="004078BC">
              <w:rPr>
                <w:rFonts w:ascii="Times New Roman" w:hAnsi="Times New Roman" w:cs="Times New Roman"/>
                <w:color w:val="000000" w:themeColor="text1"/>
                <w:sz w:val="26"/>
                <w:szCs w:val="26"/>
                <w:lang w:val="en-US"/>
              </w:rPr>
              <w:t>3. Trên cơ sở Nghị quyết của Hội đồng nhân dân tỉnh, Quyết định của Ủy ban nhân dân tỉnh hàng năm, Sở Tài chính lập thủ tục cấp kinh phí bằng hình thức lệnh chi tiền; hạch toán chi ngân sách nhà nước theo Mục lục ngân sách nhà nước hiện hành.</w:t>
            </w:r>
          </w:p>
          <w:p w:rsidR="00B47E95" w:rsidRPr="00C51CEC" w:rsidRDefault="004078BC" w:rsidP="004078BC">
            <w:pPr>
              <w:spacing w:before="120" w:after="120"/>
              <w:ind w:left="57" w:right="57"/>
              <w:jc w:val="both"/>
              <w:rPr>
                <w:rFonts w:ascii="Times New Roman" w:hAnsi="Times New Roman" w:cs="Times New Roman"/>
                <w:color w:val="000000" w:themeColor="text1"/>
                <w:sz w:val="26"/>
                <w:szCs w:val="26"/>
                <w:lang w:val="en-US"/>
              </w:rPr>
            </w:pPr>
            <w:r w:rsidRPr="004078BC">
              <w:rPr>
                <w:rFonts w:ascii="Times New Roman" w:hAnsi="Times New Roman" w:cs="Times New Roman"/>
                <w:color w:val="000000" w:themeColor="text1"/>
                <w:sz w:val="26"/>
                <w:szCs w:val="26"/>
                <w:lang w:val="en-US"/>
              </w:rPr>
              <w:t xml:space="preserve">4. Chi nhánh NHCSXH cấp tỉnh tiếp nhận nguồn vốn ngân sách cấp tỉnh để bổ sung nguồn vốn </w:t>
            </w:r>
            <w:r w:rsidRPr="004078BC">
              <w:rPr>
                <w:rFonts w:ascii="Times New Roman" w:hAnsi="Times New Roman" w:cs="Times New Roman"/>
                <w:color w:val="000000" w:themeColor="text1"/>
                <w:sz w:val="26"/>
                <w:szCs w:val="26"/>
                <w:lang w:val="en-US"/>
              </w:rPr>
              <w:lastRenderedPageBreak/>
              <w:t>cho vay đối với người nghèo và các đối tượng chính sách khác trên địa bàn nhằm phát triển sản xuất kinh doanh, nâng cao thu nhập, ổn định đời sống, góp phần giảm nghèo, duy trì và mở rộng việc làm trên địa bàn, thực hiện các mục tiêu phát triển kinh tế - xã hội của tỉnh trong từng thời kỳ</w:t>
            </w:r>
            <w:r w:rsidR="00B47E95" w:rsidRPr="00C51CEC">
              <w:rPr>
                <w:rFonts w:ascii="Times New Roman" w:hAnsi="Times New Roman" w:cs="Times New Roman"/>
                <w:color w:val="000000" w:themeColor="text1"/>
                <w:sz w:val="26"/>
                <w:szCs w:val="26"/>
                <w:lang w:val="en-US"/>
              </w:rPr>
              <w:t>.</w:t>
            </w:r>
          </w:p>
        </w:tc>
        <w:tc>
          <w:tcPr>
            <w:tcW w:w="1445" w:type="pct"/>
            <w:shd w:val="clear" w:color="auto" w:fill="FFFFFF"/>
          </w:tcPr>
          <w:p w:rsidR="00937AB2" w:rsidRDefault="00B47E95" w:rsidP="00937AB2">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Thay đổi kết cấu Điều 5 thành các khoản, quy định chi tiết hơn quy trình, trách nhiệm các bên trong quy trình chuyển nguồn vốn.</w:t>
            </w:r>
          </w:p>
          <w:p w:rsidR="00B47E95" w:rsidRPr="00C51CEC" w:rsidRDefault="00B47E95" w:rsidP="00937AB2">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w:t>
            </w:r>
            <w:r w:rsidR="00937AB2">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Chuyển nội dung quy định</w:t>
            </w:r>
            <w:r w:rsidR="00937AB2">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NHCSXH theo dõi, ghi chép, hạch toán đối với nguồn vốn ngân sách địa phương uỷ thác sang Điều 13 để phù hợp kết cấu Quy chế.</w:t>
            </w:r>
          </w:p>
        </w:tc>
      </w:tr>
      <w:tr w:rsidR="00B47E95" w:rsidRPr="00B47E95" w:rsidTr="00C4105A">
        <w:trPr>
          <w:trHeight w:val="20"/>
          <w:jc w:val="center"/>
        </w:trPr>
        <w:tc>
          <w:tcPr>
            <w:tcW w:w="1748" w:type="pct"/>
            <w:shd w:val="clear" w:color="auto" w:fill="FFFFFF"/>
            <w:vAlign w:val="center"/>
          </w:tcPr>
          <w:p w:rsidR="00937AB2" w:rsidRPr="00937AB2"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937AB2">
              <w:rPr>
                <w:rFonts w:ascii="Times New Roman" w:hAnsi="Times New Roman" w:cs="Times New Roman"/>
                <w:b/>
                <w:bCs/>
                <w:color w:val="000000" w:themeColor="text1"/>
                <w:sz w:val="26"/>
                <w:szCs w:val="26"/>
                <w:lang w:val="en-US"/>
              </w:rPr>
              <w:t>Điều 6. Đối tượng cho vay</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Đối tượng cho vay theo quy định tại Điều 2 Nghị định số 78/2002/NĐ-CP ngày 04/10/2002 của Chính phủ về tín dụng đối với người nghèo và các đối tượng chính sách khác (sau đây viết tắt là Nghị định số 78/2002/NĐ-CP).</w:t>
            </w:r>
            <w:r w:rsidRPr="00C51CEC">
              <w:rPr>
                <w:rFonts w:ascii="Times New Roman" w:hAnsi="Times New Roman" w:cs="Times New Roman"/>
                <w:color w:val="000000" w:themeColor="text1"/>
                <w:sz w:val="26"/>
                <w:szCs w:val="26"/>
                <w:lang w:val="en-US"/>
              </w:rPr>
              <w:br/>
              <w:t>2. Các đối tượng chính sách khác (nếu có) do Hội đồng nhân dân cấp tỉnh quyết định.</w:t>
            </w:r>
            <w:r w:rsidRPr="00C51CEC">
              <w:rPr>
                <w:rFonts w:ascii="Times New Roman" w:hAnsi="Times New Roman" w:cs="Times New Roman"/>
                <w:color w:val="000000" w:themeColor="text1"/>
                <w:sz w:val="26"/>
                <w:szCs w:val="26"/>
                <w:lang w:val="en-US"/>
              </w:rPr>
              <w:br/>
              <w:t>3. Đối tượng cho vay quy định tại Điều này gọi chung là người vay.</w:t>
            </w:r>
          </w:p>
        </w:tc>
        <w:tc>
          <w:tcPr>
            <w:tcW w:w="1807" w:type="pct"/>
            <w:shd w:val="clear" w:color="auto" w:fill="FFFFFF"/>
            <w:vAlign w:val="center"/>
          </w:tcPr>
          <w:p w:rsidR="00937AB2" w:rsidRPr="00937AB2"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937AB2">
              <w:rPr>
                <w:rFonts w:ascii="Times New Roman" w:hAnsi="Times New Roman" w:cs="Times New Roman"/>
                <w:b/>
                <w:bCs/>
                <w:color w:val="000000" w:themeColor="text1"/>
                <w:sz w:val="26"/>
                <w:szCs w:val="26"/>
                <w:lang w:val="en-US"/>
              </w:rPr>
              <w:t>Điều 6. Đối tượng cho vay, địa bàn cho vay</w:t>
            </w:r>
          </w:p>
          <w:p w:rsidR="00937AB2"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Đối tượng cho vay</w:t>
            </w:r>
          </w:p>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Đối tượng cho vay theo quy định tại Điều 2 Nghị định số 78/2002/NĐ-CP ngày 04/10/2002 của Chính phủ về tín dụng đối với người nghèo và các đối tượng chính sách khác (Nghị định số 78/2002/NĐ-CP); các đối tượng khác theo quy định tại các Nghị định của Chính phủ, Quyết định của Thủ tướng Chính phủ.</w:t>
            </w:r>
            <w:r w:rsidRPr="00C51CEC">
              <w:rPr>
                <w:rFonts w:ascii="Times New Roman" w:hAnsi="Times New Roman" w:cs="Times New Roman"/>
                <w:color w:val="000000" w:themeColor="text1"/>
                <w:sz w:val="26"/>
                <w:szCs w:val="26"/>
                <w:lang w:val="en-US"/>
              </w:rPr>
              <w:br/>
              <w:t>b) Các đối tượng chính sách khác tại địa phương (ngoài đối tượng quy định tại điểm a, khoản 1 Điều 6) do Hội đồng nhân dân cấp tỉnh quyết định (nếu có).</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Địa bàn cho vay: Địa bàn hành chính tỉnh Cao Bằng.</w:t>
            </w:r>
          </w:p>
        </w:tc>
        <w:tc>
          <w:tcPr>
            <w:tcW w:w="1445" w:type="pct"/>
            <w:shd w:val="clear" w:color="auto" w:fill="FFFFFF"/>
            <w:vAlign w:val="center"/>
          </w:tcPr>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Để đảm bảo bao quát, đầy đủ các đối tượng cho vay (vì hiện nay NHCSXH triển khai rất nhiều chương trình tín dụng chính sách theo các Nghị định của Chính phủ, Quyết định của Thủ tướng Chính phủ) dự thảo Quy chế bổ sung "Các đối tượng cho vay theo quy định tại Nghị định của Chính phủ, Quyết định của Thủ tướng Chính phủ"</w:t>
            </w:r>
          </w:p>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Bổ sung khoản 2 địa bàn cho vay: Cho vay trên địa bàn hành chính tỉnh Cao Bằng</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Lược bỏ khoản 3 tại Quy chế cũ do không cần thiết quy định</w:t>
            </w:r>
          </w:p>
        </w:tc>
      </w:tr>
      <w:tr w:rsidR="00B47E95" w:rsidRPr="00B47E95" w:rsidTr="00C4105A">
        <w:trPr>
          <w:trHeight w:val="20"/>
          <w:jc w:val="center"/>
        </w:trPr>
        <w:tc>
          <w:tcPr>
            <w:tcW w:w="1748" w:type="pct"/>
            <w:shd w:val="clear" w:color="auto" w:fill="FFFFFF"/>
            <w:vAlign w:val="center"/>
          </w:tcPr>
          <w:p w:rsidR="00B47E95" w:rsidRP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7. Mục đích sử dụng vốn vay</w:t>
            </w:r>
          </w:p>
        </w:tc>
        <w:tc>
          <w:tcPr>
            <w:tcW w:w="1807" w:type="pct"/>
            <w:shd w:val="clear" w:color="auto" w:fill="FFFFFF"/>
            <w:vAlign w:val="center"/>
          </w:tcPr>
          <w:p w:rsidR="00B47E95" w:rsidRP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7. Mục đích sử dụng vốn vay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F843CA">
              <w:rPr>
                <w:rFonts w:ascii="Times New Roman" w:hAnsi="Times New Roman" w:cs="Times New Roman"/>
                <w:b/>
                <w:bCs/>
                <w:color w:val="000000" w:themeColor="text1"/>
                <w:sz w:val="26"/>
                <w:szCs w:val="26"/>
                <w:lang w:val="en-US"/>
              </w:rPr>
              <w:t>Điều 8. Mức cho vay, thời hạn cho vay, lãi suất cho vay; quy trình thủ tục cho vay, bảo đảm tiền vay (nếu có)</w:t>
            </w:r>
          </w:p>
        </w:tc>
        <w:tc>
          <w:tcPr>
            <w:tcW w:w="1807" w:type="pct"/>
            <w:shd w:val="clear" w:color="auto" w:fill="FFFFFF"/>
            <w:vAlign w:val="center"/>
          </w:tcPr>
          <w:p w:rsidR="00B47E95" w:rsidRP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8. Mức cho vay, thời hạn cho vay, lãi suất cho vay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Lược bỏ trong tên điều cụm từ "quy trình thủ tục cho vay, bảo đảm tiền vay (nếu có)" để phù hợp quy định tại Khoản 3 Điều 1 Thông tư số 84/2025/TT-BTC ngày 19/8/2025 của </w:t>
            </w:r>
            <w:r w:rsidRPr="00C51CEC">
              <w:rPr>
                <w:rFonts w:ascii="Times New Roman" w:hAnsi="Times New Roman" w:cs="Times New Roman"/>
                <w:color w:val="000000" w:themeColor="text1"/>
                <w:sz w:val="26"/>
                <w:szCs w:val="26"/>
                <w:lang w:val="en-US"/>
              </w:rPr>
              <w:lastRenderedPageBreak/>
              <w:t>Bộ Tài chính (Thông tư không phân cấp cho tỉnh quy định về quy trình thủ tục cho vay, bảo đảm tiền vay)</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1. Đối với hộ nghèo và các đối tượng chính sách khác: thực hiện theo Nghị định số 78/2002/NĐ-CP ngày 04/10/2002 của Chính phủ; theo quy trình, thủ tục, hướng dẫn nghiệp vụ cho vay của NHCSXH và các quy định hiện hành của pháp luật.</w:t>
            </w:r>
            <w:r w:rsidRPr="00C51CEC">
              <w:rPr>
                <w:rFonts w:ascii="Times New Roman" w:hAnsi="Times New Roman" w:cs="Times New Roman"/>
                <w:color w:val="000000" w:themeColor="text1"/>
                <w:sz w:val="26"/>
                <w:szCs w:val="26"/>
                <w:lang w:val="en-US"/>
              </w:rPr>
              <w:br/>
              <w:t>2. Đối tượng chính sách khác (nếu có) do UBND tỉnh quyết định: căn cứ vào các quy định của pháp luật và các hướng dẫn hiện hành của NHCSXH, Ban đại diện HĐQT các cấp xem xét, quyết định, quyết định cho phù hợp với tình hình cụ thể tại địa phương.</w:t>
            </w:r>
            <w:r w:rsidRPr="00C51CEC">
              <w:rPr>
                <w:rFonts w:ascii="Times New Roman" w:hAnsi="Times New Roman" w:cs="Times New Roman"/>
                <w:color w:val="000000" w:themeColor="text1"/>
                <w:sz w:val="26"/>
                <w:szCs w:val="26"/>
                <w:lang w:val="en-US"/>
              </w:rPr>
              <w:br/>
              <w:t xml:space="preserve"> Riêng đối với lãi suất cho vay, lãi suất nợ quá hạn: Áp dụng mức lãi suất cho vay và lãi suất nợ quá hạn bằng lãi suất cho vay đối với hộ nghèo và các đối tượng chính sách khác do thủ tướng Chính phủ quy định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br/>
              <w:t>Mức cho vay, thời hạn cho vay, lãi suất cho vay theo Nghị quyết của Hội đồng nhân dân tỉnh Cao Bằng quy định cơ chế, chính sách cho vay đối với người nghèo và các đối tượng chính sách khác từ nguồn ngân sách địa phương ủy thác qua Ngân hàng Chính sách xã hội.</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Thay đổi kết cấu điều, lược bỏ các khoản chỉ quy định thực hiện theo Nghị quyết của HĐND tỉnh Cao Bằng quy định về cơ chế, chính sách cho vay từ nguồn ngân sách địa phương uỷ thác qua Ngân hành Chính sách xã hội căn cứ theo Khoản 3, Điều 1 Thông tư số 84/2025/TT-BTC ngày 19/8/2025 của Bộ Tài chính: Mức cho vay, thời hạn cho vay, lãi suất cho vay do Hội đồng nhân dân cấp tỉnh quy định trên cơ sở các quy định hiện hành của NHCSXH trong từng thời kỳ và phù hợp với thực tế tại địa phương. </w:t>
            </w:r>
            <w:r w:rsidRPr="00C51CEC">
              <w:rPr>
                <w:rFonts w:ascii="Times New Roman" w:hAnsi="Times New Roman" w:cs="Times New Roman"/>
                <w:color w:val="000000" w:themeColor="text1"/>
                <w:sz w:val="26"/>
                <w:szCs w:val="26"/>
                <w:lang w:val="en-US"/>
              </w:rPr>
              <w:br/>
              <w:t xml:space="preserve"> - Lược bỏ khoản 3 do Thông tư của Bộ Tài chính không giao cho cấp tỉnh quy định về quy trình thủ tục cho vay, bảo đảm tiền vay</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Quy trình thủ tục cho vay, bảo đảm tiền vay: thực hiện theo các quy định hiện hành.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r>
      <w:tr w:rsidR="00B47E95" w:rsidRPr="00B47E95" w:rsidTr="00C4105A">
        <w:trPr>
          <w:trHeight w:val="20"/>
          <w:jc w:val="center"/>
        </w:trPr>
        <w:tc>
          <w:tcPr>
            <w:tcW w:w="1748" w:type="pct"/>
            <w:shd w:val="clear" w:color="auto" w:fill="FFFFFF"/>
            <w:vAlign w:val="center"/>
          </w:tcPr>
          <w:p w:rsid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9. Gia hạn nợ, chuyển nợ quá hạn</w:t>
            </w:r>
          </w:p>
          <w:p w:rsidR="00F843CA"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Thẩm quyền gia hạn nợ: do NHCSXH các cấp xem xét quyết định theo quy định của NHCSXH trong từng thời kỳ.</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w:t>
            </w:r>
            <w:r w:rsidRPr="001527B0">
              <w:rPr>
                <w:rFonts w:ascii="Times New Roman" w:hAnsi="Times New Roman" w:cs="Times New Roman"/>
                <w:color w:val="000000" w:themeColor="text1"/>
                <w:spacing w:val="-2"/>
                <w:sz w:val="26"/>
                <w:szCs w:val="26"/>
                <w:lang w:val="en-US"/>
              </w:rPr>
              <w:t xml:space="preserve">. Thủ tục, hồ sơ đề nghị gia hạn nợ, chuyển nợ </w:t>
            </w:r>
            <w:r w:rsidRPr="001527B0">
              <w:rPr>
                <w:rFonts w:ascii="Times New Roman" w:hAnsi="Times New Roman" w:cs="Times New Roman"/>
                <w:color w:val="000000" w:themeColor="text1"/>
                <w:spacing w:val="-2"/>
                <w:sz w:val="26"/>
                <w:szCs w:val="26"/>
                <w:lang w:val="en-US"/>
              </w:rPr>
              <w:lastRenderedPageBreak/>
              <w:t>quá hạn, thời gian gia hạn nợ: Thực hiện theo quy định của NHCSXH trong từng thời kỳ.</w:t>
            </w:r>
          </w:p>
        </w:tc>
        <w:tc>
          <w:tcPr>
            <w:tcW w:w="1807" w:type="pct"/>
            <w:shd w:val="clear" w:color="auto" w:fill="FFFFFF"/>
            <w:vAlign w:val="center"/>
          </w:tcPr>
          <w:p w:rsid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lastRenderedPageBreak/>
              <w:t xml:space="preserve">Điều 9. </w:t>
            </w:r>
            <w:r w:rsidR="004F1B0A" w:rsidRPr="004F1B0A">
              <w:rPr>
                <w:rFonts w:ascii="Times New Roman" w:hAnsi="Times New Roman" w:cs="Times New Roman"/>
                <w:b/>
                <w:bCs/>
                <w:color w:val="000000" w:themeColor="text1"/>
                <w:sz w:val="26"/>
                <w:szCs w:val="26"/>
                <w:lang w:val="en-US"/>
              </w:rPr>
              <w:t>Điều chỉnh kỳ hạn trả nợ, Gia hạn nợ, chuyển nợ quá hạn</w:t>
            </w:r>
          </w:p>
          <w:p w:rsidR="004F1B0A" w:rsidRPr="004F1B0A" w:rsidRDefault="004F1B0A" w:rsidP="004F1B0A">
            <w:pPr>
              <w:spacing w:before="120" w:after="120"/>
              <w:ind w:left="57" w:right="57"/>
              <w:jc w:val="both"/>
              <w:rPr>
                <w:rFonts w:ascii="Times New Roman" w:hAnsi="Times New Roman" w:cs="Times New Roman"/>
                <w:color w:val="000000" w:themeColor="text1"/>
                <w:sz w:val="26"/>
                <w:szCs w:val="26"/>
                <w:lang w:val="en-US"/>
              </w:rPr>
            </w:pPr>
            <w:r w:rsidRPr="004F1B0A">
              <w:rPr>
                <w:rFonts w:ascii="Times New Roman" w:hAnsi="Times New Roman" w:cs="Times New Roman"/>
                <w:color w:val="000000" w:themeColor="text1"/>
                <w:sz w:val="26"/>
                <w:szCs w:val="26"/>
                <w:lang w:val="en-US"/>
              </w:rPr>
              <w:t xml:space="preserve">1. Thẩm quyền điều chỉnh kỳ hạn trả nợ, gia hạn nợ: Giao Chi nhánh NHCSXH tỉnh, Phòng giao dịch NHCSXH trực thuộc Chi nhánh NHCSXH </w:t>
            </w:r>
            <w:r w:rsidRPr="004F1B0A">
              <w:rPr>
                <w:rFonts w:ascii="Times New Roman" w:hAnsi="Times New Roman" w:cs="Times New Roman"/>
                <w:color w:val="000000" w:themeColor="text1"/>
                <w:sz w:val="26"/>
                <w:szCs w:val="26"/>
                <w:lang w:val="en-US"/>
              </w:rPr>
              <w:lastRenderedPageBreak/>
              <w:t>tỉnh xem xét, quyết định theo quy định của NHCSXH trong từng thời kỳ.</w:t>
            </w:r>
          </w:p>
          <w:p w:rsidR="00B47E95" w:rsidRPr="00C51CEC" w:rsidRDefault="004F1B0A" w:rsidP="004F1B0A">
            <w:pPr>
              <w:spacing w:before="120" w:after="120"/>
              <w:ind w:left="57" w:right="57"/>
              <w:jc w:val="both"/>
              <w:rPr>
                <w:rFonts w:ascii="Times New Roman" w:hAnsi="Times New Roman" w:cs="Times New Roman"/>
                <w:color w:val="000000" w:themeColor="text1"/>
                <w:sz w:val="26"/>
                <w:szCs w:val="26"/>
                <w:lang w:val="en-US"/>
              </w:rPr>
            </w:pPr>
            <w:r w:rsidRPr="004F1B0A">
              <w:rPr>
                <w:rFonts w:ascii="Times New Roman" w:hAnsi="Times New Roman" w:cs="Times New Roman"/>
                <w:color w:val="000000" w:themeColor="text1"/>
                <w:sz w:val="26"/>
                <w:szCs w:val="26"/>
                <w:lang w:val="en-US"/>
              </w:rPr>
              <w:t>2. Thủ tục, hồ sơ đề nghị điều chỉnh kỳ hạn trả nợ, gia hạn nợ, chuyển nợ quá hạn, thời gian gia hạn nợ: Thực hiện theo quy định của NHCSXH trong từng thời kỳ.</w:t>
            </w:r>
          </w:p>
        </w:tc>
        <w:tc>
          <w:tcPr>
            <w:tcW w:w="1445" w:type="pct"/>
            <w:shd w:val="clear" w:color="auto" w:fill="FFFFFF"/>
            <w:vAlign w:val="center"/>
          </w:tcPr>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xml:space="preserve">- Trình bày cụ thể hơn về thẩm quyền hạn trả nợ, gia hạn nợ. </w:t>
            </w:r>
            <w:r w:rsidR="004F1B0A">
              <w:rPr>
                <w:rFonts w:ascii="Times New Roman" w:hAnsi="Times New Roman" w:cs="Times New Roman"/>
                <w:color w:val="000000" w:themeColor="text1"/>
                <w:sz w:val="26"/>
                <w:szCs w:val="26"/>
                <w:lang w:val="en-US"/>
              </w:rPr>
              <w:t>Bổ sung quy định về điều chỉnh kỳ hạn trả nợ theo nhu cầu thực tế phát sinh.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Thủ tục thực hiện: Không thay đổi</w:t>
            </w:r>
          </w:p>
        </w:tc>
      </w:tr>
      <w:tr w:rsidR="00B47E95" w:rsidRPr="00B47E95" w:rsidTr="00C4105A">
        <w:trPr>
          <w:trHeight w:val="20"/>
          <w:jc w:val="center"/>
        </w:trPr>
        <w:tc>
          <w:tcPr>
            <w:tcW w:w="1748" w:type="pct"/>
            <w:shd w:val="clear" w:color="auto" w:fill="FFFFFF"/>
            <w:vAlign w:val="center"/>
          </w:tcPr>
          <w:p w:rsidR="00B47E95" w:rsidRP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10. Quản lý và sử dụng tiền lãi cho vay</w:t>
            </w:r>
          </w:p>
        </w:tc>
        <w:tc>
          <w:tcPr>
            <w:tcW w:w="1807" w:type="pct"/>
            <w:shd w:val="clear" w:color="auto" w:fill="FFFFFF"/>
            <w:vAlign w:val="center"/>
          </w:tcPr>
          <w:p w:rsidR="00B47E95" w:rsidRPr="00F843CA"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F843CA">
              <w:rPr>
                <w:rFonts w:ascii="Times New Roman" w:hAnsi="Times New Roman" w:cs="Times New Roman"/>
                <w:b/>
                <w:bCs/>
                <w:color w:val="000000" w:themeColor="text1"/>
                <w:sz w:val="26"/>
                <w:szCs w:val="26"/>
                <w:lang w:val="en-US"/>
              </w:rPr>
              <w:t>Điều 10. Quản lý và sử dụng tiền lãi cho vay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r>
      <w:tr w:rsidR="00B47E95" w:rsidRPr="00B47E95" w:rsidTr="00C4105A">
        <w:trPr>
          <w:trHeight w:val="20"/>
          <w:jc w:val="center"/>
        </w:trPr>
        <w:tc>
          <w:tcPr>
            <w:tcW w:w="1748" w:type="pct"/>
            <w:shd w:val="clear" w:color="auto" w:fill="FFFFFF"/>
            <w:vAlign w:val="center"/>
          </w:tcPr>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w:t>
            </w:r>
            <w:r w:rsidR="00AC117D">
              <w:rPr>
                <w:rFonts w:ascii="Times New Roman" w:hAnsi="Times New Roman" w:cs="Times New Roman"/>
                <w:color w:val="000000" w:themeColor="text1"/>
                <w:sz w:val="26"/>
                <w:szCs w:val="26"/>
                <w:lang w:val="en-US"/>
              </w:rPr>
              <w:t xml:space="preserve">. Chi nhánh </w:t>
            </w:r>
            <w:r w:rsidR="00AC117D" w:rsidRPr="00AC117D">
              <w:rPr>
                <w:rFonts w:ascii="Times New Roman" w:hAnsi="Times New Roman" w:cs="Times New Roman"/>
                <w:color w:val="000000" w:themeColor="text1"/>
                <w:sz w:val="26"/>
                <w:szCs w:val="26"/>
                <w:lang w:val="en-US"/>
              </w:rPr>
              <w:t>NHCSXH</w:t>
            </w:r>
            <w:r w:rsidR="00AC117D">
              <w:rPr>
                <w:rFonts w:ascii="Times New Roman" w:hAnsi="Times New Roman" w:cs="Times New Roman"/>
                <w:color w:val="000000" w:themeColor="text1"/>
                <w:sz w:val="26"/>
                <w:szCs w:val="26"/>
                <w:lang w:val="en-US"/>
              </w:rPr>
              <w:t xml:space="preserve"> tỉnh</w:t>
            </w:r>
            <w:r w:rsidR="00AC117D" w:rsidRPr="00AC117D">
              <w:rPr>
                <w:rFonts w:ascii="Times New Roman" w:hAnsi="Times New Roman" w:cs="Times New Roman"/>
                <w:color w:val="000000" w:themeColor="text1"/>
                <w:sz w:val="26"/>
                <w:szCs w:val="26"/>
                <w:lang w:val="en-US"/>
              </w:rPr>
              <w:t xml:space="preserve"> quản lý và hạch toán số tiền lãi thu được từ hoạt động cho vay bằng nguồn vốn ngân sách địa phương vào thu nhập của NHCSXH và quản lý, sử dụng theo nguyên tắc thứ tự ưu tiên sau:</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Trích lập dự phòng rủi ro tín dụng chung theo quy định tại Quyết định số 30/2015/QĐ-TTg ngày 31/7/2015 của Thủ tướng Chính phủ về việc sửa đổi, bổ sung một số điều của Quy chế quản lý tài chính đối với NHCSXH ban hành kèm theo</w:t>
            </w:r>
            <w:r w:rsidR="00AC117D">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Quyết định số 180/2002/QĐ-TTg</w:t>
            </w:r>
            <w:r w:rsidR="00AC117D">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ngày 19/12/2002 của Thủ tướng Chính phủ và các văn bản hướng dẫn của Bộ Tài chính.</w:t>
            </w:r>
            <w:r w:rsidR="00AC117D">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Mức trích Quỹ dự phòng rủi ro tín dụng bằng 5% trên tổng số tiền lãi thu được.</w:t>
            </w:r>
            <w:r w:rsidR="00AC117D">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NHCSXH quản lý và hạch toán số tiền lãi thu được từ hoạt động cho vay bằng nguồn vốn ngân sách địa phương vào thu nhập của NHCSXH và quản lý, sử dụng theo nguyên tắc thứ tự ưu tiên sau:</w:t>
            </w:r>
            <w:r w:rsidRPr="00C51CEC">
              <w:rPr>
                <w:rFonts w:ascii="Times New Roman" w:hAnsi="Times New Roman" w:cs="Times New Roman"/>
                <w:color w:val="000000" w:themeColor="text1"/>
                <w:sz w:val="26"/>
                <w:szCs w:val="26"/>
                <w:lang w:val="en-US"/>
              </w:rPr>
              <w:br/>
              <w:t xml:space="preserve">a) Trích lập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 </w:t>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r w:rsidRPr="00C51CEC">
              <w:rPr>
                <w:rFonts w:ascii="Times New Roman" w:hAnsi="Times New Roman" w:cs="Times New Roman"/>
                <w:color w:val="000000" w:themeColor="text1"/>
                <w:sz w:val="26"/>
                <w:szCs w:val="26"/>
                <w:lang w:val="en-US"/>
              </w:rPr>
              <w:br/>
            </w:r>
          </w:p>
        </w:tc>
        <w:tc>
          <w:tcPr>
            <w:tcW w:w="1445" w:type="pct"/>
            <w:shd w:val="clear" w:color="auto" w:fill="FFFFFF"/>
            <w:vAlign w:val="center"/>
          </w:tcPr>
          <w:p w:rsidR="00AC117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Nội dung tại Quy chế cũ được quy định tại gạch đầu dòng thứ nhất, điểm a khoản 7 Điều 5 Thông tư số 11/2017/TT-BTC ngày 08/02/2017 của Bộ Tài chính; Sau đó được sửa đổi tại khoản 4 Điều 1 Thông tư số 84/2025/TT-BTC ngày 19/8/2025 của Bộ Tài chính.</w:t>
            </w:r>
            <w:r w:rsidR="00AC117D">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Do vậy chỉnh sửa lại Quy chế cho phù hợp quy định của Thông tư số 84/2025/TT-BTC ngày 19/8/2025.</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Lược bỏ nội dung </w:t>
            </w:r>
            <w:r w:rsidRPr="00AC117D">
              <w:rPr>
                <w:rFonts w:ascii="Times New Roman" w:hAnsi="Times New Roman" w:cs="Times New Roman"/>
                <w:i/>
                <w:iCs/>
                <w:color w:val="000000" w:themeColor="text1"/>
                <w:sz w:val="26"/>
                <w:szCs w:val="26"/>
                <w:lang w:val="en-US"/>
              </w:rPr>
              <w:t>"Mức trích Quỹ dự phòng rủi ro tín dụng bằng 5% trên tổng số tiền lãi thu được"</w:t>
            </w:r>
            <w:r w:rsidRPr="00C51CEC">
              <w:rPr>
                <w:rFonts w:ascii="Times New Roman" w:hAnsi="Times New Roman" w:cs="Times New Roman"/>
                <w:color w:val="000000" w:themeColor="text1"/>
                <w:sz w:val="26"/>
                <w:szCs w:val="26"/>
                <w:lang w:val="en-US"/>
              </w:rPr>
              <w:t xml:space="preserve"> do hiện nay đang thực hiện trích theo Quy định của NHCSXH: không quy định tỷ lệ trích trên tiền lãi thu được mà toàn bộ số tiền lãi thu được phải ưu tiên trích vào Quỹ dự phòng rủi ro tín dụng cho cho đủ số dư Quỹ; sau đó tiền lãi còn dư tiếp tục được sử dụng theo thứ tự b, </w:t>
            </w:r>
            <w:r w:rsidRPr="00C51CEC">
              <w:rPr>
                <w:rFonts w:ascii="Times New Roman" w:hAnsi="Times New Roman" w:cs="Times New Roman"/>
                <w:color w:val="000000" w:themeColor="text1"/>
                <w:sz w:val="26"/>
                <w:szCs w:val="26"/>
                <w:lang w:val="en-US"/>
              </w:rPr>
              <w:lastRenderedPageBreak/>
              <w:t>c, d của khoản này thuộc Quy chế</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b) Trích phí quản lý nguồn vốn ủy thác cho chi nhánh Ngân hàng cấp tỉnh, Phòng giao dịch cấp huyện bằng mức phí quản lý Thủ tướng Chính phủ giao cho NHCSXH trong từng thời kỳ. Hiện nay đang thực hiện theo Văn bản số 7964/VPCP-KTTH ngày 22/9/2016 mức phí quản lý của NHCSXH là 0,33%/tháng (giai đoạn 2016-2018) tính trên dư nợ có thu được lãi, bao gồm: Chi trả hoa hồng cho Tổ TK&amp;VV, chi trả ủy thác cho tổ chức chính trị - xã hội nhận ủy thác và các khoản chi về dịch vụ thanh toán, ngân quỹ, chi phí cho nhân viên, văn phòng phẩm ...</w:t>
            </w:r>
            <w:r w:rsidRPr="00C51CEC">
              <w:rPr>
                <w:rFonts w:ascii="Times New Roman" w:hAnsi="Times New Roman" w:cs="Times New Roman"/>
                <w:color w:val="000000" w:themeColor="text1"/>
                <w:sz w:val="26"/>
                <w:szCs w:val="26"/>
                <w:lang w:val="en-US"/>
              </w:rPr>
              <w:br/>
              <w:t>Trường hợp lãi thu được sau khi trích quỹ dự phòng rủi ro tín dụng không đủ để trích phí quản lý NHCSXH theo quy định thì phần được trích  này là phí quản lý tối đa để đơn vị NHCSXH thực hiện đảm bảo có hiệu quả và tiết kiệm.</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b) Trích phí quản lý nguồn vốn ủy thác cho Chi nhánh NHCSXH tỉnh theo dư nợ cho vay bình quân. Mức phí quản lý bằng 0,245%/tháng. </w:t>
            </w:r>
            <w:r w:rsidRPr="00C51CEC">
              <w:rPr>
                <w:rFonts w:ascii="Times New Roman" w:hAnsi="Times New Roman" w:cs="Times New Roman"/>
                <w:color w:val="000000" w:themeColor="text1"/>
                <w:sz w:val="26"/>
                <w:szCs w:val="26"/>
                <w:lang w:val="en-US"/>
              </w:rPr>
              <w:br/>
              <w:t>Trường hợp lãi thu được sau khi trích quỹ dự phòng rủi ro tín dụng không đủ để trích phí quản lý NHCSXH theo quy định thì phần được trích này là phí quản lý tối đa để đơn vị NHCSXH thực hiện đảm bảo có hiệu quả và tiết kiệm.</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Thay đổi mức tính, cách tính phí quản lý: 0,245%/tháng trên dự nợ cho vay bình quân. Căn cứ theo Khoản 4, Điều 1 Thông tư số 84/2025/TT-BTC ngày 19/8/2025 của Bộ Tài chính quy định: Trích phí quản lý nguồn vốn ủy thác cho chi nhánh NHCSXH cấp tỉnh theo dư nợ cho vay bình quân. Mức phí quản lý tối thiểu bằng mức phí quản lý Thủ tướng Chính phủ giao cho NHCSXH trong từng thời kỳ (Hiện nay mức phí thực hiện theo Quyết định số 1264/QĐ-TTg của Thủ tướng Chính phủ, mức phí là 0,245%/tháng và chưa có văn bản thay thế)</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c) đã được sửa đổi tại Điều 1, Quyết định số 551/QĐ-UBND ngày 15/5/2018: Trích phí chi cho công tác chỉ đạo, quản lý, tổng hợp, kiểm tra, giám sát, khen thưởng của Ban đại diện Hội đồng quản trị NHCSXH các cấp, các Sở, ngành, đơn vị liên quan đến hoạt động cho vay bằng nguồn vốn NHCSXH nhận ủy thác từ ngân sách địa phương. Mức trích bằng 15% số tiền lãi thu được. Trong đó hỗ trợ công tác quản lý nguồn vốn ủy thác cho các Phòng giao </w:t>
            </w:r>
            <w:r w:rsidRPr="00C51CEC">
              <w:rPr>
                <w:rFonts w:ascii="Times New Roman" w:hAnsi="Times New Roman" w:cs="Times New Roman"/>
                <w:color w:val="000000" w:themeColor="text1"/>
                <w:sz w:val="26"/>
                <w:szCs w:val="26"/>
                <w:lang w:val="en-US"/>
              </w:rPr>
              <w:lastRenderedPageBreak/>
              <w:t>dịch 3% trên tổng số tiền lãi thu được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xml:space="preserve">c) Trích phí chi cho công tác chỉ đạo, quản lý, tổng hợp, kiểm tra, giám sát, khen thưởng của Ban đại diện Hội đồng quản trị (BĐD HĐQT) NHCSXH các cấp, các sở, ngành, đơn vị liên quan đến hoạt động cho vay bằng nguồn vốn NHCSXH nhận ủy thác từ ngân sách địa phương. </w:t>
            </w:r>
            <w:r w:rsidRPr="00C51CEC">
              <w:rPr>
                <w:rFonts w:ascii="Times New Roman" w:hAnsi="Times New Roman" w:cs="Times New Roman"/>
                <w:color w:val="000000" w:themeColor="text1"/>
                <w:sz w:val="26"/>
                <w:szCs w:val="26"/>
                <w:lang w:val="en-US"/>
              </w:rPr>
              <w:br/>
            </w:r>
            <w:r w:rsidR="00F843CA" w:rsidRPr="00F843CA">
              <w:rPr>
                <w:rFonts w:ascii="Times New Roman" w:hAnsi="Times New Roman" w:cs="Times New Roman"/>
                <w:color w:val="000000" w:themeColor="text1"/>
                <w:sz w:val="26"/>
                <w:szCs w:val="26"/>
                <w:lang w:val="en-US"/>
              </w:rPr>
              <w:t xml:space="preserve">Mức trích bằng 15% số tiền lãi thu được; Trong đó: Hỗ trợ công tác quản lý nguồn vốn của Sở Tài chính 2% số tiền lãi thu được; hỗ trợ công </w:t>
            </w:r>
            <w:r w:rsidR="00F843CA" w:rsidRPr="00F843CA">
              <w:rPr>
                <w:rFonts w:ascii="Times New Roman" w:hAnsi="Times New Roman" w:cs="Times New Roman"/>
                <w:color w:val="000000" w:themeColor="text1"/>
                <w:sz w:val="26"/>
                <w:szCs w:val="26"/>
                <w:lang w:val="en-US"/>
              </w:rPr>
              <w:lastRenderedPageBreak/>
              <w:t>tác chỉ đạo, quản lý, tổng hợp, kiểm tra, giám sát, khen thưởng của BĐD HĐQT NHCSXH cấp xã 5% số tiền lãi thu được.</w:t>
            </w:r>
          </w:p>
        </w:tc>
        <w:tc>
          <w:tcPr>
            <w:tcW w:w="1445" w:type="pct"/>
            <w:shd w:val="clear" w:color="auto" w:fill="FFFFFF"/>
            <w:vAlign w:val="center"/>
          </w:tcPr>
          <w:p w:rsidR="00B47E95" w:rsidRPr="00C51CEC"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Do thay đổ mô hình tổ chức và hoạt động của NHCSXH các cấp, Ban đại diện HĐQT NHCSXH các cấp theo mô hình chính quyền địa phương 02 cấp và tình hình triển khai thực tiễn, cần thiết lược bỏ nội dung trích kinh phí 3% cho các phòng giao dịch;</w:t>
            </w:r>
            <w:r w:rsidR="00F843CA">
              <w:rPr>
                <w:rFonts w:ascii="Times New Roman" w:hAnsi="Times New Roman" w:cs="Times New Roman"/>
                <w:color w:val="000000" w:themeColor="text1"/>
                <w:sz w:val="26"/>
                <w:szCs w:val="26"/>
                <w:lang w:val="en-US"/>
              </w:rPr>
              <w:t xml:space="preserve"> Đồng thời điều chỉnh mức trích cho </w:t>
            </w:r>
            <w:r w:rsidR="00F843CA" w:rsidRPr="00F843CA">
              <w:rPr>
                <w:rFonts w:ascii="Times New Roman" w:hAnsi="Times New Roman" w:cs="Times New Roman"/>
                <w:color w:val="000000" w:themeColor="text1"/>
                <w:sz w:val="26"/>
                <w:szCs w:val="26"/>
                <w:lang w:val="en-US"/>
              </w:rPr>
              <w:t xml:space="preserve">BĐD HĐQT NHCSXH </w:t>
            </w:r>
            <w:r w:rsidR="00F843CA">
              <w:rPr>
                <w:rFonts w:ascii="Times New Roman" w:hAnsi="Times New Roman" w:cs="Times New Roman"/>
                <w:color w:val="000000" w:themeColor="text1"/>
                <w:sz w:val="26"/>
                <w:szCs w:val="26"/>
                <w:lang w:val="en-US"/>
              </w:rPr>
              <w:t xml:space="preserve">cấp xã và Sở Tài chính để phục vụ các nhiệm vụ liên </w:t>
            </w:r>
            <w:r w:rsidR="00F843CA">
              <w:rPr>
                <w:rFonts w:ascii="Times New Roman" w:hAnsi="Times New Roman" w:cs="Times New Roman"/>
                <w:color w:val="000000" w:themeColor="text1"/>
                <w:sz w:val="26"/>
                <w:szCs w:val="26"/>
                <w:lang w:val="en-US"/>
              </w:rPr>
              <w:lastRenderedPageBreak/>
              <w:t>quan việc quản lý nguồn vốn uỷ thác.</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d) Phần còn lại, được bổ sung vào nguồn vốn gốc để cho vay theo quy định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d) Phần còn lại (nếu có) được bổ sung vào nguồn vốn cho vay.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Nội dung và mức chi cho công tác chỉ đạo, quản lý, tổng hợp, kiểm tra, giám sát, khen thưởng quy định tại điểm c mục 1 điều này do Chủ tịch UBND cấp tỉnh quy định theo chế độ chi tiêu tài chính hiện hành đối với cơ quan hành chính và đơn vị sự nghiệp công lập và một số nội dung, mức chi đặc thù phù hợp với tình hình thực tế của địa phương.</w:t>
            </w:r>
          </w:p>
        </w:tc>
        <w:tc>
          <w:tcPr>
            <w:tcW w:w="1807" w:type="pct"/>
            <w:shd w:val="clear" w:color="auto" w:fill="FFFFFF"/>
            <w:vAlign w:val="center"/>
          </w:tcPr>
          <w:p w:rsidR="00F843CA"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Nội dung và mức chi cho công tác chỉ đạo, quản lý, tổng hợp, kiểm tra, giám sát, khen thưởng quy định tại điểm 1.3 khoản 1 Điều này cụ thể như sau:</w:t>
            </w:r>
          </w:p>
          <w:p w:rsidR="00F843CA" w:rsidRDefault="00C4105A" w:rsidP="00F843CA">
            <w:pPr>
              <w:spacing w:before="120" w:after="120"/>
              <w:ind w:left="57" w:right="57"/>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r w:rsidR="00B47E95" w:rsidRPr="00C51CEC">
              <w:rPr>
                <w:rFonts w:ascii="Times New Roman" w:hAnsi="Times New Roman" w:cs="Times New Roman"/>
                <w:color w:val="000000" w:themeColor="text1"/>
                <w:sz w:val="26"/>
                <w:szCs w:val="26"/>
                <w:lang w:val="en-US"/>
              </w:rPr>
              <w:t xml:space="preserve"> Nội dung chi </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Chi tổ chức họp, hội nghị, sơ kết, tổng kết định kỳ hoặc đột xuất hoạt động tín dụng chính sách xã hội, hoạt động ủy thác vốn cho vay qua NHCSXH. </w:t>
            </w:r>
            <w:r w:rsidRPr="00C51CEC">
              <w:rPr>
                <w:rFonts w:ascii="Times New Roman" w:hAnsi="Times New Roman" w:cs="Times New Roman"/>
                <w:color w:val="000000" w:themeColor="text1"/>
                <w:sz w:val="26"/>
                <w:szCs w:val="26"/>
                <w:lang w:val="en-US"/>
              </w:rPr>
              <w:br/>
              <w:t xml:space="preserve">- Chi công tác tuyên truyền phổ biến pháp luật cho vay đối với người nghèo và các đối tượng chính sách khác. </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Chi hoạt động truyền thông tín dụng chính sách xã hội (in tờ rơi, poster, băng rôn, brochure, phóng sự, bản tin báo chí, truyền hình…). </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Chi đào tạo, tập huấn nghiệp vụ cho cán bộ triển khai thực hiện tín dụng chính sách xã hội. </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Chi mua sắm máy móc thiết bị, công cụ lao động, bảng biển Điểm giao dịch </w:t>
            </w:r>
            <w:proofErr w:type="gramStart"/>
            <w:r w:rsidRPr="00C51CEC">
              <w:rPr>
                <w:rFonts w:ascii="Times New Roman" w:hAnsi="Times New Roman" w:cs="Times New Roman"/>
                <w:color w:val="000000" w:themeColor="text1"/>
                <w:sz w:val="26"/>
                <w:szCs w:val="26"/>
                <w:lang w:val="en-US"/>
              </w:rPr>
              <w:t>xã,…</w:t>
            </w:r>
            <w:proofErr w:type="gramEnd"/>
            <w:r w:rsidRPr="00C51CEC">
              <w:rPr>
                <w:rFonts w:ascii="Times New Roman" w:hAnsi="Times New Roman" w:cs="Times New Roman"/>
                <w:color w:val="000000" w:themeColor="text1"/>
                <w:sz w:val="26"/>
                <w:szCs w:val="26"/>
                <w:lang w:val="en-US"/>
              </w:rPr>
              <w:t xml:space="preserve"> phục vụ hoạt động giao dịch tại trụ sở UBND cấp xã. </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Chi công tác phí, xăng dầu, phương tiện vận chuyển phục vụ kiểm tra, giám sát của các cấp, </w:t>
            </w:r>
            <w:r w:rsidRPr="00C51CEC">
              <w:rPr>
                <w:rFonts w:ascii="Times New Roman" w:hAnsi="Times New Roman" w:cs="Times New Roman"/>
                <w:color w:val="000000" w:themeColor="text1"/>
                <w:sz w:val="26"/>
                <w:szCs w:val="26"/>
                <w:lang w:val="en-US"/>
              </w:rPr>
              <w:lastRenderedPageBreak/>
              <w:t>các ngành và BĐD HĐQT NHCSXH các cấp và thành viên khác tham gia đoàn kiểm tra, giám sát.</w:t>
            </w:r>
            <w:r w:rsidRPr="00C51CEC">
              <w:rPr>
                <w:rFonts w:ascii="Times New Roman" w:hAnsi="Times New Roman" w:cs="Times New Roman"/>
                <w:color w:val="000000" w:themeColor="text1"/>
                <w:sz w:val="26"/>
                <w:szCs w:val="26"/>
                <w:lang w:val="en-US"/>
              </w:rPr>
              <w:br/>
              <w:t>- Chi văn phòng phẩm, vật liệu văn phòng, lễ tân khánh tiết, chi giao dịch đối ngoại của Ban đại diện Hội đồng quản trị NHCSXH các cấp.</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Chi trang phục, công cụ lao động, máy móc thiết bị làm việc cho thành viên Ban đại diện HĐQT NHCSXH các cấp.</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Chi cho việc thu hồi các khoản nợ xấu.</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 Chi khen thưởng cho tập thể, cá nhân có nhiều thành tích trong hoạt động tín dụng chính sách xã hội; chủ dự án, người vay vốn sử dụng hiệu quả vốn vay.</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Chi khảo sát, đánh giá, thăm mô hình, trao đổi học tập kinh nghiệm đối với BĐD HĐQT NHCSXH các cấp và các tập thể, cá nhân có liên quan đóng góp trong hoạt động tín dụng chính sách xã hội</w:t>
            </w:r>
          </w:p>
          <w:p w:rsidR="00F843CA" w:rsidRDefault="00B47E95" w:rsidP="00F843CA">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Các khoản chi khác liên quan đến hoạt động tín dụng chính sách xã hội. </w:t>
            </w:r>
          </w:p>
          <w:p w:rsidR="00F843CA" w:rsidRDefault="00C4105A" w:rsidP="00F843CA">
            <w:pPr>
              <w:spacing w:before="120" w:after="120"/>
              <w:ind w:left="57" w:right="57"/>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r w:rsidR="00B47E95" w:rsidRPr="00C51CEC">
              <w:rPr>
                <w:rFonts w:ascii="Times New Roman" w:hAnsi="Times New Roman" w:cs="Times New Roman"/>
                <w:color w:val="000000" w:themeColor="text1"/>
                <w:sz w:val="26"/>
                <w:szCs w:val="26"/>
                <w:lang w:val="en-US"/>
              </w:rPr>
              <w:t xml:space="preserve"> Mức chi: Thực hiện theo chế độ chi tiêu tài chính hiện hành đối với cơ quan hành chính và đơn vị sự nghiệp công lập thực hiện cơ chế tự chủ tài chính hoặc theo thực tế phát sinh phù hợp với từng nội dung chi, trên cơ sở có đầy đủ hóa đơn, chứng từ hợp lệ, hợp pháp và tuân thủ đúng các quy định của pháp luật.</w:t>
            </w:r>
          </w:p>
          <w:p w:rsidR="00F843CA" w:rsidRDefault="00C4105A" w:rsidP="00F843CA">
            <w:pPr>
              <w:spacing w:before="120" w:after="120"/>
              <w:ind w:left="57" w:right="57"/>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r w:rsidR="00B47E95" w:rsidRPr="00C51CEC">
              <w:rPr>
                <w:rFonts w:ascii="Times New Roman" w:hAnsi="Times New Roman" w:cs="Times New Roman"/>
                <w:color w:val="000000" w:themeColor="text1"/>
                <w:sz w:val="26"/>
                <w:szCs w:val="26"/>
                <w:lang w:val="en-US"/>
              </w:rPr>
              <w:t xml:space="preserve"> Trường hợp không sử dụng hết số kinh phí </w:t>
            </w:r>
            <w:r w:rsidR="00B47E95" w:rsidRPr="00C51CEC">
              <w:rPr>
                <w:rFonts w:ascii="Times New Roman" w:hAnsi="Times New Roman" w:cs="Times New Roman"/>
                <w:color w:val="000000" w:themeColor="text1"/>
                <w:sz w:val="26"/>
                <w:szCs w:val="26"/>
                <w:lang w:val="en-US"/>
              </w:rPr>
              <w:lastRenderedPageBreak/>
              <w:t>được trích trong năm thì được chuyển sang năm sau để tiếp tục quản lý, sử dụng hoặc NHCSXH nơi nhận ủy thác phối hợp với các đơn vị liên quan trình UBND cùng cấp điều chuyển (một phần hoặc toàn bộ) kinh phí còn dư bổ sung nguồn vốn ủy thác qua NHCSXH cho vay đối với người nghèo và các đối tượng chính sách khác theo quy định.</w:t>
            </w:r>
          </w:p>
          <w:p w:rsidR="00B47E95" w:rsidRPr="00C51CEC" w:rsidRDefault="00C4105A" w:rsidP="00F843CA">
            <w:pPr>
              <w:spacing w:before="120" w:after="120"/>
              <w:ind w:left="57" w:right="57"/>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d)</w:t>
            </w:r>
            <w:r w:rsidR="00B47E95" w:rsidRPr="00C51CEC">
              <w:rPr>
                <w:rFonts w:ascii="Times New Roman" w:hAnsi="Times New Roman" w:cs="Times New Roman"/>
                <w:color w:val="000000" w:themeColor="text1"/>
                <w:sz w:val="26"/>
                <w:szCs w:val="26"/>
                <w:lang w:val="en-US"/>
              </w:rPr>
              <w:t xml:space="preserve"> Giao Giám đốc Chi nhánh NHCSXH tỉnh Cao Bằng, Giám đốc Phòng giao dịch NHCSXH trực thuộc Chi nhánh tổ chức hạch toán kế toán, quản lý, lập kế hoạch sử dụng hằng năm, phê duyệt dự toán và quyết toán các khoản chi theo quy định để phục vụ hoạt động của BĐD HĐQT NHCSXH các cấp và hoạt động tín dụng chính sách xã hội trên địa bàn.</w:t>
            </w:r>
          </w:p>
        </w:tc>
        <w:tc>
          <w:tcPr>
            <w:tcW w:w="1445" w:type="pct"/>
            <w:shd w:val="clear" w:color="auto" w:fill="FFFFFF"/>
            <w:vAlign w:val="center"/>
          </w:tcPr>
          <w:p w:rsidR="00C4105A"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Bổ sung chi tiết các nội dung chi so với Quy chế cũ để đơn vị có căn cứ dễ thực hiện; cụ thể:</w:t>
            </w:r>
          </w:p>
          <w:p w:rsidR="00C4105A"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Bổ sung điềm 2.1 khoản 2: Quy định nội dung chi</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Bổ sung điểm 2.3 khoản 2: Trường hợp không sử dụng hết số kinh phí được trích trong năm thì được chuyển sang năm sau để tiếp tục quản lý, sử dụng hoặc NHCSXH nơi nhận ủy thác phối hợp với các đơn vị liên quan trình UBND cùng cấp điều chuyển (một phần hoặc toàn bộ) kinh phí còn dư bổ sung nguồn vốn ủy thác qua NHCSXH cho vay đối với người nghèo và các đối tượng chính sách khác theo quy định.</w:t>
            </w:r>
            <w:r w:rsidRPr="00C51CEC">
              <w:rPr>
                <w:rFonts w:ascii="Times New Roman" w:hAnsi="Times New Roman" w:cs="Times New Roman"/>
                <w:color w:val="000000" w:themeColor="text1"/>
                <w:sz w:val="26"/>
                <w:szCs w:val="26"/>
                <w:lang w:val="en-US"/>
              </w:rPr>
              <w:br/>
              <w:t xml:space="preserve"> - Bổ sung điểm 2.4 khoản 2: Giao Giám đốc chi nhánh NHCSXH tỉnh Cao Bằng, Giám đốc Phòng giao dịch NHCSXH cấp huyện tổ chức hạch toán kế toán, quản lý, lập kế hoạch sử dụng hằng năm, duyệt dự toán và quyết toán các khoản chi theo quy </w:t>
            </w:r>
            <w:r w:rsidRPr="00C51CEC">
              <w:rPr>
                <w:rFonts w:ascii="Times New Roman" w:hAnsi="Times New Roman" w:cs="Times New Roman"/>
                <w:color w:val="000000" w:themeColor="text1"/>
                <w:sz w:val="26"/>
                <w:szCs w:val="26"/>
                <w:lang w:val="en-US"/>
              </w:rPr>
              <w:lastRenderedPageBreak/>
              <w:t>định để phục vụ hoạt động của Ban đại diện Hội đồng quản trị NHCSXH các cấp và hoạt động tín dụng chính sách xã hội trên địa bàn.</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2. Chi nhánh NHCSXH có trách nhiệm sử dụng đúng tiền lãi thu được từ hoạt động ủy thác theo quy định của Luật Ngân sách nhà nước và quy định tại Quy chế này.</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NHCSXH các cấp có trách nhiệm quản lý và sử dụng tiền lãi thu được từ hoạt động ủy thác theo đúng quy định tại Quy chế này.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Chuyển khoản 2 thành khoản 3 tại Quy chế mới. Sửa </w:t>
            </w:r>
            <w:r w:rsidRPr="00C4105A">
              <w:rPr>
                <w:rFonts w:ascii="Times New Roman" w:hAnsi="Times New Roman" w:cs="Times New Roman"/>
                <w:i/>
                <w:iCs/>
                <w:color w:val="000000" w:themeColor="text1"/>
                <w:sz w:val="26"/>
                <w:szCs w:val="26"/>
                <w:lang w:val="en-US"/>
              </w:rPr>
              <w:t>"Chi nhánh NHCSXH"</w:t>
            </w:r>
            <w:r w:rsidRPr="00C51CEC">
              <w:rPr>
                <w:rFonts w:ascii="Times New Roman" w:hAnsi="Times New Roman" w:cs="Times New Roman"/>
                <w:color w:val="000000" w:themeColor="text1"/>
                <w:sz w:val="26"/>
                <w:szCs w:val="26"/>
                <w:lang w:val="en-US"/>
              </w:rPr>
              <w:t xml:space="preserve"> thành </w:t>
            </w:r>
            <w:r w:rsidRPr="00C4105A">
              <w:rPr>
                <w:rFonts w:ascii="Times New Roman" w:hAnsi="Times New Roman" w:cs="Times New Roman"/>
                <w:i/>
                <w:iCs/>
                <w:color w:val="000000" w:themeColor="text1"/>
                <w:sz w:val="26"/>
                <w:szCs w:val="26"/>
                <w:lang w:val="en-US"/>
              </w:rPr>
              <w:t>"NHCSXH các cấp"</w:t>
            </w:r>
            <w:r w:rsidRPr="00C51CEC">
              <w:rPr>
                <w:rFonts w:ascii="Times New Roman" w:hAnsi="Times New Roman" w:cs="Times New Roman"/>
                <w:color w:val="000000" w:themeColor="text1"/>
                <w:sz w:val="26"/>
                <w:szCs w:val="26"/>
                <w:lang w:val="en-US"/>
              </w:rPr>
              <w:t xml:space="preserve"> để phù hợp mô hình tổ chức hiện hành.</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4. Trường hợp tiền lãi cho vay không đủ bù đắp các khoản chi phí về trích lập dự phòng rủi ro tín dụng, chi phí quản lý cho NHCSXH; chi phí cho công tác chỉ đạo, quản lý, tổng hợp, kiểm tra, giám sát, khen thưởng của Ban đại diện HĐQT NHCSXH các cấp, các Sở, ngành, đơn vị liên quan thì NHCSXH có trách nhiệm tham mưu, điều chỉnh lại các nội dung chi cho </w:t>
            </w:r>
            <w:r w:rsidRPr="00C51CEC">
              <w:rPr>
                <w:rFonts w:ascii="Times New Roman" w:hAnsi="Times New Roman" w:cs="Times New Roman"/>
                <w:color w:val="000000" w:themeColor="text1"/>
                <w:sz w:val="26"/>
                <w:szCs w:val="26"/>
                <w:lang w:val="en-US"/>
              </w:rPr>
              <w:lastRenderedPageBreak/>
              <w:t>phù hợp không vượt quá số lãi thu được.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xml:space="preserve">4. Trường hợp tiền lãi cho vay không đủ bủ đắp các khoản chi phí về trích lập rủi ro tín dụng chung; phí quản lý nguồn vốn ủy thác cho Chi nhánh NHCSXH tỉnh; chi phí cho công tác chỉ đạo Trích phí chi cho công tác chỉ đạo, quản lý, tổng hợp, kiểm tra, giám sát, khen thưởng của Ban đại diện Hội đồng quản trị (BĐD HĐQT) NHCSXH các cấp, các sở, ngành, đơn vị liên </w:t>
            </w:r>
            <w:r w:rsidRPr="00C51CEC">
              <w:rPr>
                <w:rFonts w:ascii="Times New Roman" w:hAnsi="Times New Roman" w:cs="Times New Roman"/>
                <w:color w:val="000000" w:themeColor="text1"/>
                <w:sz w:val="26"/>
                <w:szCs w:val="26"/>
                <w:lang w:val="en-US"/>
              </w:rPr>
              <w:lastRenderedPageBreak/>
              <w:t>quan thì NHCSXH có trách nhiệm tham mưu, điều chỉnh các nội dung chi cho phù hợp không vượt quá số lãi thu được.</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Không thay đổi</w:t>
            </w:r>
          </w:p>
        </w:tc>
      </w:tr>
      <w:tr w:rsidR="00B47E95" w:rsidRPr="00B47E95" w:rsidTr="00C4105A">
        <w:trPr>
          <w:trHeight w:val="20"/>
          <w:jc w:val="center"/>
        </w:trPr>
        <w:tc>
          <w:tcPr>
            <w:tcW w:w="1748" w:type="pct"/>
            <w:shd w:val="clear" w:color="auto" w:fill="FFFFFF"/>
            <w:vAlign w:val="center"/>
          </w:tcPr>
          <w:p w:rsidR="00B47E95" w:rsidRPr="00805500"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805500">
              <w:rPr>
                <w:rFonts w:ascii="Times New Roman" w:hAnsi="Times New Roman" w:cs="Times New Roman"/>
                <w:b/>
                <w:bCs/>
                <w:color w:val="000000" w:themeColor="text1"/>
                <w:sz w:val="26"/>
                <w:szCs w:val="26"/>
                <w:lang w:val="en-US"/>
              </w:rPr>
              <w:t>Điều 11. Xử lý nợ bị rủi ro</w:t>
            </w:r>
          </w:p>
        </w:tc>
        <w:tc>
          <w:tcPr>
            <w:tcW w:w="1807" w:type="pct"/>
            <w:shd w:val="clear" w:color="auto" w:fill="FFFFFF"/>
            <w:vAlign w:val="center"/>
          </w:tcPr>
          <w:p w:rsidR="00B47E95" w:rsidRPr="00805500"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805500">
              <w:rPr>
                <w:rFonts w:ascii="Times New Roman" w:hAnsi="Times New Roman" w:cs="Times New Roman"/>
                <w:b/>
                <w:bCs/>
                <w:color w:val="000000" w:themeColor="text1"/>
                <w:sz w:val="26"/>
                <w:szCs w:val="26"/>
                <w:lang w:val="en-US"/>
              </w:rPr>
              <w:t>Điều 11. Xử lý nợ bị rủi ro</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Phạm vi xử lý nợ bị rủi ro: việc xử lý nợ của Người vay vay vốn bị rủi ro do nguyên nhân khách quan và những trường hợp do nguyên nhân chủ quan của người vay, của tổ chức nhận ủy thác, của cán bộ, viên chức NHCSXH, thì phải bồi hoàn và chịu trách nhiệm trước pháp luật.</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Lược bỏ nội dung điều khoản này do tại khoản 5 Điều 1 Thông tư số 84/2025/TT-BTC ngày 19/8/2025 của Bộ Tài chính có quy định: Đối tượng Đối với các khoản nợ bị rủi ro ngoài phạm vi đối tượng và nguyên nhân khách quan được xem xét xử lý nợ rủi ro theo quy định của Thủ tướng Chính phủ thì địa phương được quyết định việc xử lý nợ. Do đó việc quy định phạm vi xử lý nợ bị rủi ro là không cần thiết</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và các văn bản hướng dẫn của các cơ quan có thẩm quyền về cơ chế xử lý nợ bị rủi ro tại NHCSXH.</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NHCSXH.</w:t>
            </w:r>
            <w:r w:rsidRPr="00C51CEC">
              <w:rPr>
                <w:rFonts w:ascii="Times New Roman" w:hAnsi="Times New Roman" w:cs="Times New Roman"/>
                <w:color w:val="000000" w:themeColor="text1"/>
                <w:sz w:val="26"/>
                <w:szCs w:val="26"/>
                <w:lang w:val="en-US"/>
              </w:rPr>
              <w:br/>
            </w:r>
            <w:r w:rsidR="002C5D79" w:rsidRPr="00A62437">
              <w:rPr>
                <w:rFonts w:ascii="Times New Roman" w:hAnsi="Times New Roman" w:cs="Times New Roman"/>
                <w:color w:val="000000" w:themeColor="text1"/>
                <w:spacing w:val="-4"/>
                <w:sz w:val="26"/>
                <w:szCs w:val="26"/>
                <w:lang w:val="en-US"/>
              </w:rPr>
              <w:t>Đối với các khoản nợ bị rủi ro ngoài phạm vi đối tượng và nguyên nhân khách quan được xem xét xử lý nợ rủi ro theo quy định của Thủ tướng Chính phủ về cơ chế xử lý nợ bị rủi ro tại NHCSXH:</w:t>
            </w:r>
            <w:r w:rsidR="0055686D" w:rsidRPr="00A62437">
              <w:rPr>
                <w:rFonts w:ascii="Times New Roman" w:hAnsi="Times New Roman" w:cs="Times New Roman"/>
                <w:color w:val="000000" w:themeColor="text1"/>
                <w:spacing w:val="-4"/>
                <w:sz w:val="26"/>
                <w:szCs w:val="26"/>
                <w:lang w:val="en-US"/>
              </w:rPr>
              <w:t xml:space="preserve"> </w:t>
            </w:r>
            <w:r w:rsidR="002C5D79" w:rsidRPr="00A62437">
              <w:rPr>
                <w:rFonts w:ascii="Times New Roman" w:hAnsi="Times New Roman" w:cs="Times New Roman"/>
                <w:color w:val="000000" w:themeColor="text1"/>
                <w:spacing w:val="-4"/>
                <w:sz w:val="26"/>
                <w:szCs w:val="26"/>
                <w:lang w:val="en-US"/>
              </w:rPr>
              <w:t xml:space="preserve">UBND tỉnh xem xét đối tượng, nguyên nhân và </w:t>
            </w:r>
            <w:r w:rsidR="002C5D79" w:rsidRPr="00A62437">
              <w:rPr>
                <w:rFonts w:ascii="Times New Roman" w:hAnsi="Times New Roman" w:cs="Times New Roman"/>
                <w:color w:val="000000" w:themeColor="text1"/>
                <w:spacing w:val="-4"/>
                <w:sz w:val="26"/>
                <w:szCs w:val="26"/>
                <w:lang w:val="en-US"/>
              </w:rPr>
              <w:lastRenderedPageBreak/>
              <w:t>quyết định hồ sơ, biện pháp xử lý</w:t>
            </w:r>
            <w:r w:rsidRPr="00A62437">
              <w:rPr>
                <w:rFonts w:ascii="Times New Roman" w:hAnsi="Times New Roman" w:cs="Times New Roman"/>
                <w:color w:val="000000" w:themeColor="text1"/>
                <w:spacing w:val="-4"/>
                <w:sz w:val="26"/>
                <w:szCs w:val="26"/>
                <w:lang w:val="en-US"/>
              </w:rPr>
              <w:t>.</w:t>
            </w:r>
          </w:p>
        </w:tc>
        <w:tc>
          <w:tcPr>
            <w:tcW w:w="1445" w:type="pct"/>
            <w:shd w:val="clear" w:color="auto" w:fill="FFFFFF"/>
            <w:vAlign w:val="center"/>
          </w:tcPr>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Căn cứ khoản 5, Điều 1 Thông tư số 84/2025/TT-BTC ngày</w:t>
            </w:r>
            <w:r w:rsidR="00805500">
              <w:rPr>
                <w:rFonts w:ascii="Times New Roman" w:hAnsi="Times New Roman" w:cs="Times New Roman"/>
                <w:color w:val="000000" w:themeColor="text1"/>
                <w:sz w:val="26"/>
                <w:szCs w:val="26"/>
                <w:lang w:val="en-US"/>
              </w:rPr>
              <w:t xml:space="preserve"> </w:t>
            </w:r>
            <w:r w:rsidRPr="00C51CEC">
              <w:rPr>
                <w:rFonts w:ascii="Times New Roman" w:hAnsi="Times New Roman" w:cs="Times New Roman"/>
                <w:color w:val="000000" w:themeColor="text1"/>
                <w:sz w:val="26"/>
                <w:szCs w:val="26"/>
                <w:lang w:val="en-US"/>
              </w:rPr>
              <w:t>19/8/2025 của Bộ Tài chính, việc xử lý nợ bị rủi ro được chia thành 2 loại nợ rủi ro được xử lý gồm:</w:t>
            </w:r>
          </w:p>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Nợ bị rủi ro do nguyên nhân khách quan và đối tượng đã được quy định tại Quyết định của Thủ tướng Chính phủ về cơ chế xử lý nợ bị rủi ro: thực hiện theo quy định của Thủ tướng Chính phủ</w:t>
            </w:r>
            <w:r w:rsidR="0055686D">
              <w:rPr>
                <w:rFonts w:ascii="Times New Roman" w:hAnsi="Times New Roman" w:cs="Times New Roman"/>
                <w:color w:val="000000" w:themeColor="text1"/>
                <w:sz w:val="26"/>
                <w:szCs w:val="26"/>
                <w:lang w:val="en-US"/>
              </w:rPr>
              <w:t>.</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 Nợ bị rủi ro ngoài phạm vi đối tượng </w:t>
            </w:r>
            <w:r w:rsidRPr="00C51CEC">
              <w:rPr>
                <w:rFonts w:ascii="Times New Roman" w:hAnsi="Times New Roman" w:cs="Times New Roman"/>
                <w:color w:val="000000" w:themeColor="text1"/>
                <w:sz w:val="26"/>
                <w:szCs w:val="26"/>
                <w:lang w:val="en-US"/>
              </w:rPr>
              <w:lastRenderedPageBreak/>
              <w:t xml:space="preserve">và nguyên nhân khách quan đã thực hiện theo quy định của Thủ tướng Chính phủ: </w:t>
            </w:r>
            <w:r w:rsidR="0055686D" w:rsidRPr="0055686D">
              <w:rPr>
                <w:rFonts w:ascii="Times New Roman" w:hAnsi="Times New Roman" w:cs="Times New Roman"/>
                <w:color w:val="000000" w:themeColor="text1"/>
                <w:sz w:val="26"/>
                <w:szCs w:val="26"/>
                <w:lang w:val="en-US"/>
              </w:rPr>
              <w:t>UBND tỉnh xem xét đối tượng, nguyên nhân và quyết định hồ sơ, biện pháp xử lý.</w:t>
            </w:r>
            <w:r w:rsidR="0055686D">
              <w:rPr>
                <w:rFonts w:ascii="Times New Roman" w:hAnsi="Times New Roman" w:cs="Times New Roman"/>
                <w:color w:val="000000" w:themeColor="text1"/>
                <w:sz w:val="26"/>
                <w:szCs w:val="26"/>
                <w:lang w:val="en-US"/>
              </w:rPr>
              <w:t xml:space="preserve"> </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3. Thẩm quyền xem xét xử lý nợ bị rủi ro:</w:t>
            </w:r>
            <w:r w:rsidRPr="00C51CEC">
              <w:rPr>
                <w:rFonts w:ascii="Times New Roman" w:hAnsi="Times New Roman" w:cs="Times New Roman"/>
                <w:color w:val="000000" w:themeColor="text1"/>
                <w:sz w:val="26"/>
                <w:szCs w:val="26"/>
                <w:lang w:val="en-US"/>
              </w:rPr>
              <w:br/>
              <w:t>a) Đối với trường hợp ngoài khả năng thực hiện từ Quỹ dự phòng rủi ro tín dụng: Chủ tịch UBND cấp tỉnh quyết định đối với nguồn vốn ngân sách cấp tỉnh; Chủ tịch UBND cấp huyện quyết định đối với nguồn vốn ngân sách cấp huyện.</w:t>
            </w:r>
            <w:r w:rsidRPr="00C51CEC">
              <w:rPr>
                <w:rFonts w:ascii="Times New Roman" w:hAnsi="Times New Roman" w:cs="Times New Roman"/>
                <w:color w:val="000000" w:themeColor="text1"/>
                <w:sz w:val="26"/>
                <w:szCs w:val="26"/>
                <w:lang w:val="en-US"/>
              </w:rPr>
              <w:br/>
              <w:t>b) Đối với các trường hợp còn lại: Trưởng BĐD HĐQT NHCSXH cấp huyện quyết định đối với nguồn vốn ngân sách cấp huyện</w:t>
            </w:r>
          </w:p>
        </w:tc>
        <w:tc>
          <w:tcPr>
            <w:tcW w:w="1807" w:type="pct"/>
            <w:shd w:val="clear" w:color="auto" w:fill="FFFFFF"/>
            <w:vAlign w:val="center"/>
          </w:tcPr>
          <w:p w:rsidR="00805500" w:rsidRPr="00805500" w:rsidRDefault="00B47E95" w:rsidP="00805500">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Thẩm quyền xem xét xử lý nợ bị rủi ro:</w:t>
            </w:r>
            <w:r w:rsidR="00805500">
              <w:rPr>
                <w:rFonts w:ascii="Times New Roman" w:hAnsi="Times New Roman" w:cs="Times New Roman"/>
                <w:color w:val="000000" w:themeColor="text1"/>
                <w:sz w:val="26"/>
                <w:szCs w:val="26"/>
                <w:lang w:val="en-US"/>
              </w:rPr>
              <w:t xml:space="preserve"> </w:t>
            </w:r>
            <w:r w:rsidR="00805500" w:rsidRPr="00805500">
              <w:rPr>
                <w:rFonts w:ascii="Times New Roman" w:hAnsi="Times New Roman" w:cs="Times New Roman"/>
                <w:color w:val="000000" w:themeColor="text1"/>
                <w:sz w:val="26"/>
                <w:szCs w:val="26"/>
                <w:lang w:val="en-US"/>
              </w:rPr>
              <w:t>Chủ tịch UBND tỉnh quyết định trừ trường sau:</w:t>
            </w:r>
          </w:p>
          <w:p w:rsidR="00B47E95" w:rsidRPr="00C51CEC" w:rsidRDefault="00805500" w:rsidP="00805500">
            <w:pPr>
              <w:spacing w:before="120" w:after="120"/>
              <w:ind w:left="57" w:right="57"/>
              <w:jc w:val="both"/>
              <w:rPr>
                <w:rFonts w:ascii="Times New Roman" w:hAnsi="Times New Roman" w:cs="Times New Roman"/>
                <w:color w:val="000000" w:themeColor="text1"/>
                <w:sz w:val="26"/>
                <w:szCs w:val="26"/>
                <w:lang w:val="en-US"/>
              </w:rPr>
            </w:pPr>
            <w:r w:rsidRPr="00805500">
              <w:rPr>
                <w:rFonts w:ascii="Times New Roman" w:hAnsi="Times New Roman" w:cs="Times New Roman"/>
                <w:color w:val="000000" w:themeColor="text1"/>
                <w:sz w:val="26"/>
                <w:szCs w:val="26"/>
                <w:lang w:val="en-US"/>
              </w:rPr>
              <w:t>- Trưởng ban Đại diện Hội đồng quản trị NHCSXH tỉnh quyết định xử lý nợ đối với các khoản nợ bị rủi ro do nguyên nhân khách quan được quy định tại Quyết định của Thủ tướng Chính phủ về cơ chế xử lý nợ bị rủi ro mà trong phạm vi, khả năng thực hiện xử lý nợ từ Quỹ dự phòng rủi ro tín dụng.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Căn cứ Khoản 5, Điều 1 Thông tư số 84/2025/TT-BTC ngày 19/8/2025 của Bộ Tài chính, về thẩm quyền xem xét xử lý nợ bị rủi ro </w:t>
            </w:r>
            <w:r w:rsidR="005C0D59">
              <w:rPr>
                <w:rFonts w:ascii="Times New Roman" w:hAnsi="Times New Roman" w:cs="Times New Roman"/>
                <w:color w:val="000000" w:themeColor="text1"/>
                <w:sz w:val="26"/>
                <w:szCs w:val="26"/>
                <w:lang w:val="en-US"/>
              </w:rPr>
              <w:t xml:space="preserve">do </w:t>
            </w:r>
            <w:r w:rsidRPr="00C51CEC">
              <w:rPr>
                <w:rFonts w:ascii="Times New Roman" w:hAnsi="Times New Roman" w:cs="Times New Roman"/>
                <w:color w:val="000000" w:themeColor="text1"/>
                <w:sz w:val="26"/>
                <w:szCs w:val="26"/>
                <w:lang w:val="en-US"/>
              </w:rPr>
              <w:t xml:space="preserve">Chủ tịch UBND tỉnh xem xét, quyết định </w:t>
            </w:r>
            <w:r w:rsidR="005C0D59">
              <w:rPr>
                <w:rFonts w:ascii="Times New Roman" w:hAnsi="Times New Roman" w:cs="Times New Roman"/>
                <w:color w:val="000000" w:themeColor="text1"/>
                <w:sz w:val="26"/>
                <w:szCs w:val="26"/>
                <w:lang w:val="en-US"/>
              </w:rPr>
              <w:t>và có uỷ quyền đối với trường hợp trong khả năng đảm bảo của Quỹ dự phòng rủi ro tín dụng để tạo sự chủ động trong công tác.</w:t>
            </w:r>
          </w:p>
        </w:tc>
      </w:tr>
      <w:tr w:rsidR="00B47E95" w:rsidRPr="00B47E95" w:rsidTr="00C4105A">
        <w:trPr>
          <w:trHeight w:val="20"/>
          <w:jc w:val="center"/>
        </w:trPr>
        <w:tc>
          <w:tcPr>
            <w:tcW w:w="1748" w:type="pct"/>
            <w:shd w:val="clear" w:color="auto" w:fill="FFFFFF"/>
            <w:vAlign w:val="center"/>
          </w:tcPr>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4. Nguồn vốn để xử lý nợ bị rủi ro</w:t>
            </w:r>
          </w:p>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Nguồn vốn xoá nợ rủi ro được lấy từ Quỹ dự phòng rủi ro tín dụng đã được Chi nhánh NHCSXH tỉnh trích lập đối với cho vay người nghèo và các đối tượng chính sách khác từ nguồn ngân sách địa phương theo quy định tại điểm a mục 1 Điều 10 Quy chế này.</w:t>
            </w:r>
          </w:p>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b) Trường hợp Quỹ dự phòng rủi ro tín dụng không đủ bù đắp, tùy theo tình hình thực tế khoản vay bị rủi ro thuộc nguồn vốn cấp tỉnh, cấp huyện, cơ quan Tài chính cấp tỉnh, cấp huyện chủ trì, phối hợp với Sở Lao động - Thương binh và Xã hội cấp tỉnh, cấp huyện, NHCSXH cấp tỉnh, huyện báo cáo UBND cấp </w:t>
            </w:r>
            <w:r w:rsidRPr="00C51CEC">
              <w:rPr>
                <w:rFonts w:ascii="Times New Roman" w:hAnsi="Times New Roman" w:cs="Times New Roman"/>
                <w:color w:val="000000" w:themeColor="text1"/>
                <w:sz w:val="26"/>
                <w:szCs w:val="26"/>
                <w:lang w:val="en-US"/>
              </w:rPr>
              <w:lastRenderedPageBreak/>
              <w:t>tỉnh, cấp huyện bổ sung ngân sách địa phương để xử lý hoặc giảm trực tiếp vào nguồn vốn ủy thác của ngân sách địa phương chuyển qua NHCSXH cấp tỉnh, cấp huyện.</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 Trường hợp Quỹ dự phòng rủi ro tín dụng sau khi được xử lý nợ bị rủi ro lớn hơn số dư Quỹ dự phòng rủi ro tối đa, được bổ sung vào nguồn vốn uỷ thác để cho vay theo quy định.</w:t>
            </w:r>
          </w:p>
        </w:tc>
        <w:tc>
          <w:tcPr>
            <w:tcW w:w="1807" w:type="pct"/>
            <w:shd w:val="clear" w:color="auto" w:fill="FFFFFF"/>
            <w:vAlign w:val="center"/>
          </w:tcPr>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br/>
              <w:t>3. Nguồn vốn để xử lý nợ bị rủi ro: Từ quỹ Quỹ dự phòng rủi ro tín dụng đã được Chi nhánh NHCSXH tỉnh trích lập đối với cho vay người nghèo và các đối tượng chính sách khác từ nguồn ngân sách địa phương.</w:t>
            </w:r>
          </w:p>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4. Trường hợp Quỹ dự phòng rủi ro tín dụng không đủ bù đắp, tùy theo tình hình thực tế khoản vay bị rủi ro, Sở Tài chính chủ trì, phối hợp với Chi nhánh NHCSXH tỉnh và các Sở, ngành, đơn vị có liên quan báo cáo UBND cấp tỉnh bổ sung ngân sách cấp tỉnh để xử lý, hoặc giảm trực tiếp vào nguồn vốn ủy thác của ngân sách cấp tỉnh chuyển qua Chi nhánh NHCSXH </w:t>
            </w:r>
            <w:r w:rsidRPr="00C51CEC">
              <w:rPr>
                <w:rFonts w:ascii="Times New Roman" w:hAnsi="Times New Roman" w:cs="Times New Roman"/>
                <w:color w:val="000000" w:themeColor="text1"/>
                <w:sz w:val="26"/>
                <w:szCs w:val="26"/>
                <w:lang w:val="en-US"/>
              </w:rPr>
              <w:lastRenderedPageBreak/>
              <w:t>cấp tỉnh.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5. Trường hợp Quỹ dự phòng rủi ro tín dụng sau khi được sử dụng để xử lý xóa nợ bị rủi ro lớn hơn số dư Quỹ dự phòng rủi ro tối đa, được bổ sung vào nguồn vốn ủy thác để cho vay theo quy định.</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Không thay đổi nội dung, chỉ thay đổi cách trình bày để phù hợp kết cấu Quy chế và phù hợp mô hình tổ chức chính quyền mới.</w:t>
            </w:r>
          </w:p>
        </w:tc>
      </w:tr>
      <w:tr w:rsidR="00B47E95" w:rsidRPr="00B47E95" w:rsidTr="00C4105A">
        <w:trPr>
          <w:trHeight w:val="20"/>
          <w:jc w:val="center"/>
        </w:trPr>
        <w:tc>
          <w:tcPr>
            <w:tcW w:w="1748" w:type="pct"/>
            <w:shd w:val="clear" w:color="auto" w:fill="FFFFFF"/>
            <w:vAlign w:val="center"/>
          </w:tcPr>
          <w:p w:rsidR="005C0D59"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12. Thông tin, báo cáo</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Định kỳ 6 tháng, hằng năm hoặc thiêu yêu cầu đột xuất, NHCSXH báo cáo tổng kết nguồn vốn, kết quả cho vay từ nguồn vốn ủy thác gửi UBND cấp tỉnh, Sở Tài chính (đối với nguồn vốn ngân sách cấp tỉnh); gửi UBND huyện, Phòng Tài chính - Kế hoạch huyện (đối với nguồn vốn ngân sách cấp huyện)</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Định kỳ hằng tháng, năm, Chi nhánh tỉnh báo cáo tình hình thu lãi, phân phối và sử dụng lãi thu được gửi Sở Tài chính (đối với nguồn vốn ngân sách cấp tỉnh) gửi Phòng Tài chính - Kế hoạch huyện (đối với nguồn vốn ngân sách cấp huyện) để tổng hợp theo dõi.</w:t>
            </w:r>
          </w:p>
        </w:tc>
        <w:tc>
          <w:tcPr>
            <w:tcW w:w="1807" w:type="pct"/>
            <w:shd w:val="clear" w:color="auto" w:fill="FFFFFF"/>
            <w:vAlign w:val="center"/>
          </w:tcPr>
          <w:p w:rsidR="005C0D59"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12. Chế độ báo cáo</w:t>
            </w:r>
            <w:r w:rsidR="005C0D59" w:rsidRPr="005C0D59">
              <w:rPr>
                <w:rFonts w:ascii="Times New Roman" w:hAnsi="Times New Roman" w:cs="Times New Roman"/>
                <w:b/>
                <w:bCs/>
                <w:color w:val="000000" w:themeColor="text1"/>
                <w:sz w:val="26"/>
                <w:szCs w:val="26"/>
                <w:lang w:val="en-US"/>
              </w:rPr>
              <w:t xml:space="preserve"> </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Định kỳ 6 tháng, hằng năm hoặc theo yêu cầu đột xuất, Chi nhánh NHCSXH tỉnh báo cáo tổng nguồn vốn, kết quả cho vay từ nguồn vốn ủy thác gửi UBND tỉnh, Sở Tài chính.</w:t>
            </w:r>
            <w:r w:rsidR="005C0D59">
              <w:rPr>
                <w:rFonts w:ascii="Times New Roman" w:hAnsi="Times New Roman" w:cs="Times New Roman"/>
                <w:color w:val="000000" w:themeColor="text1"/>
                <w:sz w:val="26"/>
                <w:szCs w:val="26"/>
                <w:lang w:val="en-US"/>
              </w:rPr>
              <w:t xml:space="preserve"> </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Định kỳ hàng tháng, năm, Chi nhánh NHCSXH tỉnh báo cáo tình hình thu lãi, phân phối và sử dụng lãi thu được gửi Sở Tài chính để tổng hợp, theo dõi.</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Cơ bản giữ nguyên chế độ báo cáo cũ, chỉ bỏ các nội dung liên quan đến cấp huyện để phù hợp mô hình chính quyền địa phương 02 cấp phù hợp Khoản 6, Điều 1 Thông tư số 84/2025/TT-BTC ngày 19/8/2025 của Bộ Tài chính</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807" w:type="pct"/>
            <w:shd w:val="clear" w:color="auto" w:fill="FFFFFF"/>
            <w:vAlign w:val="center"/>
          </w:tcPr>
          <w:p w:rsidR="005C0D59" w:rsidRPr="005C0D59" w:rsidRDefault="00B47E95" w:rsidP="00C37907">
            <w:pPr>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13. Hạch toán, theo dõi cho vay, chế độ báo cáo quyết toán</w:t>
            </w:r>
          </w:p>
          <w:p w:rsidR="0055686D"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1. Việc ghi chép, hạch toán kế toán đối với nguồn vốn ủy thác và dư nợ cho vay được theo dõi, hạch toán vào tài khoản kế toán riêng theo các văn bản hướng dẫn của Tổng Giám đốc </w:t>
            </w:r>
            <w:r w:rsidRPr="00C51CEC">
              <w:rPr>
                <w:rFonts w:ascii="Times New Roman" w:hAnsi="Times New Roman" w:cs="Times New Roman"/>
                <w:color w:val="000000" w:themeColor="text1"/>
                <w:sz w:val="26"/>
                <w:szCs w:val="26"/>
                <w:lang w:val="en-US"/>
              </w:rPr>
              <w:lastRenderedPageBreak/>
              <w:t>NHCSXH.</w:t>
            </w:r>
          </w:p>
          <w:p w:rsidR="00B47E95" w:rsidRPr="00C51CEC" w:rsidRDefault="00B47E95" w:rsidP="00C37907">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2. Chế độ báo cáo quyết toán nguồn vốn ủy thác và dư nợ cho vay thực hiện theo các văn bản hướng dẫn của Tổng Giám đốc NHCSXH.</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Bổ sung Điều 13 để quy định rõ trách nhiệm, nhiệm vụ cụ thể của NHCSXH trong việc hạch toán, theo dõi cho vay, quyết toán nguồn vốn uỷ thác</w:t>
            </w:r>
          </w:p>
        </w:tc>
      </w:tr>
      <w:tr w:rsidR="00B47E95" w:rsidRPr="00B47E95" w:rsidTr="00C4105A">
        <w:trPr>
          <w:trHeight w:val="20"/>
          <w:jc w:val="center"/>
        </w:trPr>
        <w:tc>
          <w:tcPr>
            <w:tcW w:w="1748" w:type="pct"/>
            <w:shd w:val="clear" w:color="auto" w:fill="FFFFFF"/>
            <w:vAlign w:val="center"/>
          </w:tcPr>
          <w:p w:rsidR="00B47E95"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14. Trách nhiệm của các cơ quan, đơn vị, địa phương</w:t>
            </w:r>
          </w:p>
        </w:tc>
        <w:tc>
          <w:tcPr>
            <w:tcW w:w="1807" w:type="pct"/>
            <w:shd w:val="clear" w:color="auto" w:fill="FFFFFF"/>
            <w:vAlign w:val="center"/>
          </w:tcPr>
          <w:p w:rsidR="00B47E95"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14. Trách nhiệm của các cơ quan, đơn vị, địa phương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807" w:type="pct"/>
            <w:shd w:val="clear" w:color="auto" w:fill="FFFFFF"/>
            <w:vAlign w:val="center"/>
          </w:tcPr>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1. BĐD HĐQT NHCSXH tỉnh</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Căn cứ nhu cầu vốn của các đối tượng thụ hưởng của từng chương trình tín dụng chính sách trên địa bàn tỉnh, thực hiện giao/điều chỉnh chỉ tiêu kế hoạch dư nợ nguồn vốn ngân sách địa phương tại Điều 3 Quy chế này cho Chi nhánh NHCSXH tỉnh và Phòng giao dịch NHCSXH trực thuộc Chi nhánh tính để triển khai thực hiện cho vay theo quy định.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b) Kiểm tra, giám sát của các đơn vị trong việc thực hiện Quy chế này và Hợp đồng nhận ủy thác cho vay tại địa phương.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Bổ sung nội dung khoản 1, Điều 13 để thực hiện thống nhất theo Quyết định số 86/QĐ-NHCS ngày 10/01/2014 của Tổng Giám đốc NHCSXH quy định thẩm quyền giao/điều chỉnh chỉ tiêu kế hoạch tín dụng là Trưởng BĐD HĐQT. Theo đó, BĐD HĐQT NHCSXH tỉnh giao hoặc điều chỉnh chỉ tiêu kế hoạch tín dụng từ nguồn vốn nhận ủy thác tại địa phương cho từng chương trình tín dụng chính sách cho các đơn vị làm căn cứ triển khai thực hiện. Đồng thời, tăng cường công tác kiểm tra, giám sát của BĐD HĐQT NHCSXH cấp tỉnh đối với nguồn vốn nhận ủy thác tại địa phương</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br/>
              <w:t>1. Sở Tài chính, phòng Tài chính - Kế hoạch các huyện, thành phố</w:t>
            </w:r>
            <w:r w:rsidRPr="00C51CEC">
              <w:rPr>
                <w:rFonts w:ascii="Times New Roman" w:hAnsi="Times New Roman" w:cs="Times New Roman"/>
                <w:color w:val="000000" w:themeColor="text1"/>
                <w:sz w:val="26"/>
                <w:szCs w:val="26"/>
                <w:lang w:val="en-US"/>
              </w:rPr>
              <w:br/>
              <w:t xml:space="preserve">a) Chủ trì, phối hợp với các cơ quan có liên quan tham mưu, đề xuất UBND trình HĐND tỉnh, huyện xem xét, quyết định bổ sung nguồn </w:t>
            </w:r>
            <w:r w:rsidRPr="00C51CEC">
              <w:rPr>
                <w:rFonts w:ascii="Times New Roman" w:hAnsi="Times New Roman" w:cs="Times New Roman"/>
                <w:color w:val="000000" w:themeColor="text1"/>
                <w:sz w:val="26"/>
                <w:szCs w:val="26"/>
                <w:lang w:val="en-US"/>
              </w:rPr>
              <w:lastRenderedPageBreak/>
              <w:t>vốn từ ngân sách địa phương để cho vay người nghèo và các đối tượng chính sách khác trên địa bàn.</w:t>
            </w:r>
            <w:r w:rsidRPr="00C51CEC">
              <w:rPr>
                <w:rFonts w:ascii="Times New Roman" w:hAnsi="Times New Roman" w:cs="Times New Roman"/>
                <w:color w:val="000000" w:themeColor="text1"/>
                <w:sz w:val="26"/>
                <w:szCs w:val="26"/>
                <w:lang w:val="en-US"/>
              </w:rPr>
              <w:br/>
              <w:t>b) Phối hợp với NHCSXH kiểm tra tình hình và kết quả sử dụng vốn ngân sách ủy thác, xử lý rủi ro.</w:t>
            </w:r>
            <w:r w:rsidRPr="00C51CEC">
              <w:rPr>
                <w:rFonts w:ascii="Times New Roman" w:hAnsi="Times New Roman" w:cs="Times New Roman"/>
                <w:color w:val="000000" w:themeColor="text1"/>
                <w:sz w:val="26"/>
                <w:szCs w:val="26"/>
                <w:lang w:val="en-US"/>
              </w:rPr>
              <w:br/>
              <w:t>c) Kiểm tra việc phân phối, sử dụng lãi thu được theo Điều 10 của Quy chế này.</w:t>
            </w:r>
          </w:p>
        </w:tc>
        <w:tc>
          <w:tcPr>
            <w:tcW w:w="1807" w:type="pct"/>
            <w:shd w:val="clear" w:color="auto" w:fill="FFFFFF"/>
            <w:vAlign w:val="center"/>
          </w:tcPr>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br/>
              <w:t>2. Sở Tài chính</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Ký hợp đồng ủy thác với NHCSXH cấp tỉnh</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b) Chủ trì, phối hợp với các Sở, ngành có liên quan và Chi nhánh NHCSXH tỉnh tham mưu, đề xuất UBND tỉnh trình Hội đồng nhân dân tỉnh </w:t>
            </w:r>
            <w:r w:rsidRPr="00C51CEC">
              <w:rPr>
                <w:rFonts w:ascii="Times New Roman" w:hAnsi="Times New Roman" w:cs="Times New Roman"/>
                <w:color w:val="000000" w:themeColor="text1"/>
                <w:sz w:val="26"/>
                <w:szCs w:val="26"/>
                <w:lang w:val="en-US"/>
              </w:rPr>
              <w:lastRenderedPageBreak/>
              <w:t>quyết định: quy định cơ chế, chính sách cho vay đối với người nghèo và các đối tượng chính sách khác từ nguồn ngân sách địa phương ủy thác qua Ngân hàng Chính sách xã hội; bố trí vốn ngân sách địa phương để ủy thác thực hiện chính sách tín dụng ưu đãi thông qua Chi nhánh NHCSXH tỉnh trên địa bàn.</w:t>
            </w:r>
          </w:p>
          <w:p w:rsidR="005C0D59"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 Phối hợp với NHCSXH kiểm tra tình hình và kết quả sử dụng vốn ngân sách ủy thác, phối hợp xử lý nợ bị rủi ro.</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d) Kiểm tra việc phân phối, sử dụng lãi thu được theo Điều 10 của Quy chế này.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Bổ sung khoản a căn cứ theo Khoản 2, Điều 1 Thông tư số 84/2025/TT-BTC ngày 19/8/2025 của Bộ Tài chính</w:t>
            </w:r>
            <w:r w:rsidRPr="00C51CEC">
              <w:rPr>
                <w:rFonts w:ascii="Times New Roman" w:hAnsi="Times New Roman" w:cs="Times New Roman"/>
                <w:color w:val="000000" w:themeColor="text1"/>
                <w:sz w:val="26"/>
                <w:szCs w:val="26"/>
                <w:lang w:val="en-US"/>
              </w:rPr>
              <w:br/>
              <w:t xml:space="preserve">- Điều chỉnh nhiệm vụ của Sở Tài chính về việc tham mưu xây dựng Nghị quyết của HĐND tỉnh và tham </w:t>
            </w:r>
            <w:r w:rsidRPr="00C51CEC">
              <w:rPr>
                <w:rFonts w:ascii="Times New Roman" w:hAnsi="Times New Roman" w:cs="Times New Roman"/>
                <w:color w:val="000000" w:themeColor="text1"/>
                <w:sz w:val="26"/>
                <w:szCs w:val="26"/>
                <w:lang w:val="en-US"/>
              </w:rPr>
              <w:lastRenderedPageBreak/>
              <w:t>mưu cho UBND tỉnh trình HĐND tỉnh bố trí ngân sách địa phương uỷ thác căn cứ theo Khoản 2, Điều 1 và Điều 5 Nghị định số 85/2025/NĐ-CP ngày 08/4/2025 của Chính phủ Quy định chi tiết thi hành một số điều của Luật Đầu tư công và theo  khoản c, điểm 1, Điều 39, Luật Ngân sách nhà nước số 89/2025/QH15 ngày 25/6/2025 (thuộc nhiệm vụ chi của ngân sách địa phương).</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2. Các tổ chức Chính trị - xã hội nhận ủy thác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Các tổ chức Chính trị - xã hội nhận ủy thác</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3. Chi nhánh NHCSXH, Phòng giao dịch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Tiếp nhận, quản lý và sử dụng nguồn vốn ngân sách địa phương ủy thác quan NHCSXH theo quy định hiện hành của Nhà nước và Quy chế này.</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b) Thực hiện cho vay minh bạch, đúng đối tượng, đúng mục đích, tuân thủ các quy trình, thủ tục và điều kiện vay vốn.</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 Thực hiện giải ngân, thu hồi nợ; sử dụng vốn thu hồi để cho vay quay vòng;</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d) Chủ trì, phối hợp với các đơn vị liên quan thực hiện kiểm tra tình hình quản lý và kết quả sử dụng nguồn vốn ngân sách địa phương ủy thác định kỳ, đột xuất theo yêu cầu của Ban đại </w:t>
            </w:r>
            <w:r w:rsidRPr="00C51CEC">
              <w:rPr>
                <w:rFonts w:ascii="Times New Roman" w:hAnsi="Times New Roman" w:cs="Times New Roman"/>
                <w:color w:val="000000" w:themeColor="text1"/>
                <w:sz w:val="26"/>
                <w:szCs w:val="26"/>
                <w:lang w:val="en-US"/>
              </w:rPr>
              <w:lastRenderedPageBreak/>
              <w:t>diện HĐQT NHCSXH.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đ) Chủ trì, phối hợp với các đơn vị có liên quan lập, thẩm định hồ sơ xử lý rủi ro theo đề nghị của NHCSXH, báo cáo cấp có thẩm quyền xem xét, quyết định.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e) Thực hiện báo cáo đầy đủ theo quy định tại Điều 12 Quy chế này.</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g) Tham mưu cho UBND tỉnh và phối hợp với các sở, ban, ngành có liên quan ban hành các quy định về quản lý và sử dụng nguồn vốn ủy thác.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5. Chi nhánh NHCSXH tỉnh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a) Ký hợp đồng ủy thác với Sở Tài chính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b) Tiếp nhận, quản lý và sử dụng nguồn vốn ngân sách địa phương ủy thác quan NHCSXH theo quy định hiện hành của Nhà nước và Quy chế này.</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c) Căn cứ nhu cầu vốn của các đối tượng thụ hưởng của từng chương trình tín dụng chính sách trên địa bàn tỉnh, tham mưu Trưởng BĐD HĐQT NHCSXH tỉnh giao/điều chỉnh chỉ tiêu kế hoạch dư nợ nguồn vốn nhận ủy thác tại địa phương cho các đơn vị để triển khai thực hiện cho vay theo quy định.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xml:space="preserve">d) Thực hiện cho vay minh bạch, đúng đối </w:t>
            </w:r>
            <w:r w:rsidRPr="00C51CEC">
              <w:rPr>
                <w:rFonts w:ascii="Times New Roman" w:hAnsi="Times New Roman" w:cs="Times New Roman"/>
                <w:color w:val="000000" w:themeColor="text1"/>
                <w:sz w:val="26"/>
                <w:szCs w:val="26"/>
                <w:lang w:val="en-US"/>
              </w:rPr>
              <w:lastRenderedPageBreak/>
              <w:t>tượng, đúng mục đích, tuân thủ các quy trình, thủ tục và điều kiện vay vốn.</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đ) Thực hiện giải ngân, thu hồi nợ; sử dụng vốn thu hồi để cho vay quay vòng;</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e) Chủ trì, phối hợp với các đơn vị liên quan thực hiện kiểm tra tình hình quản lý và kết quả sử dụng nguồn vốn ngân sách địa phương ủy thác định kỳ, đột xuất theo yêu cầu của Ban đại diện HĐQT NHCSXH.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f) Chủ trì, phối hợp với các đơn vị có liên quan lập hồ sơ, thẩm định hồ sơ xử lý rủi ro, trình cấp có thẩm quyền xem xét, quyết định. Quyết định việc gia hạn nợ đối với khách hàng.</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g) Thực hiện báo cáo đầy đủ theo quy định tại Điều 12 Quy chế này.</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h) Tham mưu cho UBND tỉnh và phối hợp với các sở, ban, ngành có liên quan ban hành các quy định về quản lý và sử dụng nguồn vốn ủy thác.</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i) Chủ trì, phối hợp với các đơn vị có liên quan tham mưu, tổ chức thẩm định hồ sơ đề nghị xử lý rủi ro, báo cáo cấp có thẩm quyền xem xét, quyết định việc xử lý nợ bị rủi ro theo quy định tại khoản 1, điều 11 của Quy chế này.</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lastRenderedPageBreak/>
              <w:t>- Bổ sung khoản a: Ký hợp đồng ủy thác với Sở Tài chính theo khoản 2 Điều 1 Thông tư số 84/2025/TT-BTC của Bộ Tài chính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Bổ sung khoản c: Căn cứ nhu cầu vốn của các đối tượng thụ hưởng của từng chương trình tín dụng chính sách trên địa bàn tỉnh, tham mưu Trưởng BĐD HĐQT NHCSXH tỉnh giao/điều chỉnh chỉ tiêu kế hoạch dư nợ nguồn vốn nhận ủy thác tại địa phương cho các đơn vị để triển khai thực hiện cho vay theo quy định</w:t>
            </w:r>
          </w:p>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 Các nội dung khác 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4. Ủy ban nhân dân tỉnh, huyện, thành phố</w:t>
            </w:r>
            <w:r w:rsidRPr="00C51CEC">
              <w:rPr>
                <w:rFonts w:ascii="Times New Roman" w:hAnsi="Times New Roman" w:cs="Times New Roman"/>
                <w:color w:val="000000" w:themeColor="text1"/>
                <w:sz w:val="26"/>
                <w:szCs w:val="26"/>
                <w:lang w:val="en-US"/>
              </w:rPr>
              <w:br/>
              <w:t xml:space="preserve">Chỉ đạo các cơ quan chức năng, các tổ chức chính trị - xã hội, cơ quan thực hiện chương trình, chi nhánh NHCSXH tỉnh và Phòng giao </w:t>
            </w:r>
            <w:r w:rsidRPr="00C51CEC">
              <w:rPr>
                <w:rFonts w:ascii="Times New Roman" w:hAnsi="Times New Roman" w:cs="Times New Roman"/>
                <w:color w:val="000000" w:themeColor="text1"/>
                <w:sz w:val="26"/>
                <w:szCs w:val="26"/>
                <w:lang w:val="en-US"/>
              </w:rPr>
              <w:lastRenderedPageBreak/>
              <w:t>dịch NHCSXH cấp huyện thực hiện đúng quy chế, chính sách cho vay từ nguồn vốn ngân sách địa phương ủy thác theo quy định của pháp luật hiện hành và Quy chế này; chỉ đạo tập trung thực hiện hiệu quả công tác tuyên truyền, vận động và tạo điều kiện để thực hiện chính sách tín dụng đối với các đối tượng vay trên địa bàn; căn cứ khả năng ngân sách địa phương quy định bổ sung nguồn vốn cho vay đối với người nghèo và các đối tượng chính sách khác theo quy định của Luật Ngân sách Nhà nước.</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Lược bỏ nội dung này để phù hợp chính quyền địa phương 02 cấp</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5. Ủy ban nhân dân xã, phường, thị trấn</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6. Ủy ban nhân dân xã, phường</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Sửa tiêu đề khoản 6 để phù hợp chính quyền địa phương 2 cấp; Nội dung khoản không thay đổi</w:t>
            </w:r>
          </w:p>
        </w:tc>
      </w:tr>
      <w:tr w:rsidR="00B47E95" w:rsidRPr="00B47E95" w:rsidTr="00C4105A">
        <w:trPr>
          <w:trHeight w:val="20"/>
          <w:jc w:val="center"/>
        </w:trPr>
        <w:tc>
          <w:tcPr>
            <w:tcW w:w="1748"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6. Trách nhiệm của người vay</w:t>
            </w:r>
          </w:p>
        </w:tc>
        <w:tc>
          <w:tcPr>
            <w:tcW w:w="1807"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7. Người vay vốn</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Sửa tiêu đề khoản 7, nội dung khoản không thay đổi</w:t>
            </w:r>
          </w:p>
        </w:tc>
      </w:tr>
      <w:tr w:rsidR="00B47E95" w:rsidRPr="00B47E95" w:rsidTr="00C4105A">
        <w:trPr>
          <w:trHeight w:val="20"/>
          <w:jc w:val="center"/>
        </w:trPr>
        <w:tc>
          <w:tcPr>
            <w:tcW w:w="1748" w:type="pct"/>
            <w:shd w:val="clear" w:color="auto" w:fill="FFFFFF"/>
            <w:vAlign w:val="center"/>
          </w:tcPr>
          <w:p w:rsidR="00B47E95"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15. Tổ chức thực hiện</w:t>
            </w:r>
          </w:p>
        </w:tc>
        <w:tc>
          <w:tcPr>
            <w:tcW w:w="1807" w:type="pct"/>
            <w:shd w:val="clear" w:color="auto" w:fill="FFFFFF"/>
            <w:vAlign w:val="center"/>
          </w:tcPr>
          <w:p w:rsidR="00B47E95" w:rsidRPr="005C0D59" w:rsidRDefault="00B47E95" w:rsidP="00C51CEC">
            <w:pPr>
              <w:spacing w:before="120" w:after="120"/>
              <w:ind w:left="57" w:right="57"/>
              <w:jc w:val="both"/>
              <w:rPr>
                <w:rFonts w:ascii="Times New Roman" w:hAnsi="Times New Roman" w:cs="Times New Roman"/>
                <w:b/>
                <w:bCs/>
                <w:color w:val="000000" w:themeColor="text1"/>
                <w:sz w:val="26"/>
                <w:szCs w:val="26"/>
                <w:lang w:val="en-US"/>
              </w:rPr>
            </w:pPr>
            <w:r w:rsidRPr="005C0D59">
              <w:rPr>
                <w:rFonts w:ascii="Times New Roman" w:hAnsi="Times New Roman" w:cs="Times New Roman"/>
                <w:b/>
                <w:bCs/>
                <w:color w:val="000000" w:themeColor="text1"/>
                <w:sz w:val="26"/>
                <w:szCs w:val="26"/>
                <w:lang w:val="en-US"/>
              </w:rPr>
              <w:t>Điều 15. Tổ chức thực hiện</w:t>
            </w:r>
          </w:p>
        </w:tc>
        <w:tc>
          <w:tcPr>
            <w:tcW w:w="1445" w:type="pct"/>
            <w:shd w:val="clear" w:color="auto" w:fill="FFFFFF"/>
            <w:vAlign w:val="center"/>
          </w:tcPr>
          <w:p w:rsidR="00B47E95" w:rsidRPr="00C51CEC" w:rsidRDefault="00B47E95" w:rsidP="00C51CEC">
            <w:pPr>
              <w:spacing w:before="120" w:after="120"/>
              <w:ind w:left="57" w:right="57"/>
              <w:jc w:val="both"/>
              <w:rPr>
                <w:rFonts w:ascii="Times New Roman" w:hAnsi="Times New Roman" w:cs="Times New Roman"/>
                <w:color w:val="000000" w:themeColor="text1"/>
                <w:sz w:val="26"/>
                <w:szCs w:val="26"/>
                <w:lang w:val="en-US"/>
              </w:rPr>
            </w:pPr>
            <w:r w:rsidRPr="00C51CEC">
              <w:rPr>
                <w:rFonts w:ascii="Times New Roman" w:hAnsi="Times New Roman" w:cs="Times New Roman"/>
                <w:color w:val="000000" w:themeColor="text1"/>
                <w:sz w:val="26"/>
                <w:szCs w:val="26"/>
                <w:lang w:val="en-US"/>
              </w:rPr>
              <w:t>Không thay đổi</w:t>
            </w:r>
          </w:p>
        </w:tc>
      </w:tr>
    </w:tbl>
    <w:p w:rsidR="004D491E" w:rsidRPr="00B47E95" w:rsidRDefault="004D491E">
      <w:pPr>
        <w:rPr>
          <w:rFonts w:ascii="Times New Roman" w:hAnsi="Times New Roman" w:cs="Times New Roman"/>
          <w:vanish/>
        </w:rPr>
      </w:pPr>
    </w:p>
    <w:sectPr w:rsidR="004D491E" w:rsidRPr="00B47E95" w:rsidSect="0057773E">
      <w:headerReference w:type="even" r:id="rId7"/>
      <w:headerReference w:type="default" r:id="rId8"/>
      <w:pgSz w:w="16840" w:h="11907" w:orient="landscape" w:code="9"/>
      <w:pgMar w:top="1134" w:right="1134" w:bottom="1134" w:left="1134" w:header="680"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2B9" w:rsidRDefault="00FE22B9" w:rsidP="00807F59">
      <w:r>
        <w:separator/>
      </w:r>
    </w:p>
  </w:endnote>
  <w:endnote w:type="continuationSeparator" w:id="0">
    <w:p w:rsidR="00FE22B9" w:rsidRDefault="00FE22B9" w:rsidP="0080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2B9" w:rsidRDefault="00FE22B9" w:rsidP="00807F59">
      <w:r>
        <w:separator/>
      </w:r>
    </w:p>
  </w:footnote>
  <w:footnote w:type="continuationSeparator" w:id="0">
    <w:p w:rsidR="00FE22B9" w:rsidRDefault="00FE22B9" w:rsidP="0080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81C" w:rsidRDefault="006A481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95295282"/>
      <w:docPartObj>
        <w:docPartGallery w:val="Page Numbers (Top of Page)"/>
        <w:docPartUnique/>
      </w:docPartObj>
    </w:sdtPr>
    <w:sdtContent>
      <w:p w:rsidR="006A481C" w:rsidRDefault="006A481C">
        <w:pPr>
          <w:pStyle w:val="Header"/>
          <w:jc w:val="center"/>
        </w:pPr>
        <w:r w:rsidRPr="008F2F98">
          <w:rPr>
            <w:rFonts w:ascii="Times New Roman" w:hAnsi="Times New Roman" w:cs="Times New Roman"/>
          </w:rPr>
          <w:fldChar w:fldCharType="begin"/>
        </w:r>
        <w:r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B31C30">
          <w:rPr>
            <w:rFonts w:ascii="Times New Roman" w:hAnsi="Times New Roman" w:cs="Times New Roman"/>
            <w:noProof/>
          </w:rPr>
          <w:t>8</w:t>
        </w:r>
        <w:r w:rsidRPr="008F2F98">
          <w:rPr>
            <w:rFonts w:ascii="Times New Roman" w:hAnsi="Times New Roman" w:cs="Times New Roman"/>
          </w:rPr>
          <w:fldChar w:fldCharType="end"/>
        </w:r>
      </w:p>
    </w:sdtContent>
  </w:sdt>
  <w:p w:rsidR="006A481C" w:rsidRDefault="006A4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031"/>
    <w:multiLevelType w:val="multilevel"/>
    <w:tmpl w:val="802EE9EA"/>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AE4B0D"/>
    <w:multiLevelType w:val="multilevel"/>
    <w:tmpl w:val="11006AE6"/>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3946A9E"/>
    <w:multiLevelType w:val="hybridMultilevel"/>
    <w:tmpl w:val="689EE3E8"/>
    <w:lvl w:ilvl="0" w:tplc="F5DC7D90">
      <w:start w:val="6"/>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0F034F"/>
    <w:multiLevelType w:val="multilevel"/>
    <w:tmpl w:val="E90CEEC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B296718"/>
    <w:multiLevelType w:val="hybridMultilevel"/>
    <w:tmpl w:val="08F035A4"/>
    <w:lvl w:ilvl="0" w:tplc="8ADC9448">
      <w:start w:val="1"/>
      <w:numFmt w:val="bullet"/>
      <w:suff w:val="space"/>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172750D"/>
    <w:multiLevelType w:val="multilevel"/>
    <w:tmpl w:val="CA78E00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1DC4AD6"/>
    <w:multiLevelType w:val="hybridMultilevel"/>
    <w:tmpl w:val="BAFE277E"/>
    <w:lvl w:ilvl="0" w:tplc="02E0C3B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7" w15:restartNumberingAfterBreak="0">
    <w:nsid w:val="15EB1194"/>
    <w:multiLevelType w:val="multilevel"/>
    <w:tmpl w:val="DFAC87C2"/>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1586579"/>
    <w:multiLevelType w:val="multilevel"/>
    <w:tmpl w:val="FF3EB2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547434D"/>
    <w:multiLevelType w:val="multilevel"/>
    <w:tmpl w:val="FF12214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5F3075D"/>
    <w:multiLevelType w:val="hybridMultilevel"/>
    <w:tmpl w:val="20F22B54"/>
    <w:lvl w:ilvl="0" w:tplc="46CC648E">
      <w:start w:val="1"/>
      <w:numFmt w:val="decimal"/>
      <w:suff w:val="space"/>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26CE77E6"/>
    <w:multiLevelType w:val="hybridMultilevel"/>
    <w:tmpl w:val="FA9CE19A"/>
    <w:lvl w:ilvl="0" w:tplc="16C262E2">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28AF0CF1"/>
    <w:multiLevelType w:val="multilevel"/>
    <w:tmpl w:val="367EF186"/>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18C78FD"/>
    <w:multiLevelType w:val="hybridMultilevel"/>
    <w:tmpl w:val="C6CE4436"/>
    <w:lvl w:ilvl="0" w:tplc="A14A30A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31D279F3"/>
    <w:multiLevelType w:val="hybridMultilevel"/>
    <w:tmpl w:val="D5E2FFA6"/>
    <w:lvl w:ilvl="0" w:tplc="54BABA3A">
      <w:start w:val="5"/>
      <w:numFmt w:val="bullet"/>
      <w:lvlText w:val="-"/>
      <w:lvlJc w:val="left"/>
      <w:pPr>
        <w:ind w:left="459" w:hanging="360"/>
      </w:pPr>
      <w:rPr>
        <w:rFonts w:ascii="Times New Roman" w:eastAsia="Times New Roman" w:hAnsi="Times New Roman" w:cs="Times New Roman" w:hint="default"/>
      </w:rPr>
    </w:lvl>
    <w:lvl w:ilvl="1" w:tplc="042A0003" w:tentative="1">
      <w:start w:val="1"/>
      <w:numFmt w:val="bullet"/>
      <w:lvlText w:val="o"/>
      <w:lvlJc w:val="left"/>
      <w:pPr>
        <w:ind w:left="1179" w:hanging="360"/>
      </w:pPr>
      <w:rPr>
        <w:rFonts w:ascii="Courier New" w:hAnsi="Courier New" w:cs="Courier New" w:hint="default"/>
      </w:rPr>
    </w:lvl>
    <w:lvl w:ilvl="2" w:tplc="042A0005" w:tentative="1">
      <w:start w:val="1"/>
      <w:numFmt w:val="bullet"/>
      <w:lvlText w:val=""/>
      <w:lvlJc w:val="left"/>
      <w:pPr>
        <w:ind w:left="1899" w:hanging="360"/>
      </w:pPr>
      <w:rPr>
        <w:rFonts w:ascii="Wingdings" w:hAnsi="Wingdings" w:hint="default"/>
      </w:rPr>
    </w:lvl>
    <w:lvl w:ilvl="3" w:tplc="042A0001" w:tentative="1">
      <w:start w:val="1"/>
      <w:numFmt w:val="bullet"/>
      <w:lvlText w:val=""/>
      <w:lvlJc w:val="left"/>
      <w:pPr>
        <w:ind w:left="2619" w:hanging="360"/>
      </w:pPr>
      <w:rPr>
        <w:rFonts w:ascii="Symbol" w:hAnsi="Symbol" w:hint="default"/>
      </w:rPr>
    </w:lvl>
    <w:lvl w:ilvl="4" w:tplc="042A0003" w:tentative="1">
      <w:start w:val="1"/>
      <w:numFmt w:val="bullet"/>
      <w:lvlText w:val="o"/>
      <w:lvlJc w:val="left"/>
      <w:pPr>
        <w:ind w:left="3339" w:hanging="360"/>
      </w:pPr>
      <w:rPr>
        <w:rFonts w:ascii="Courier New" w:hAnsi="Courier New" w:cs="Courier New" w:hint="default"/>
      </w:rPr>
    </w:lvl>
    <w:lvl w:ilvl="5" w:tplc="042A0005" w:tentative="1">
      <w:start w:val="1"/>
      <w:numFmt w:val="bullet"/>
      <w:lvlText w:val=""/>
      <w:lvlJc w:val="left"/>
      <w:pPr>
        <w:ind w:left="4059" w:hanging="360"/>
      </w:pPr>
      <w:rPr>
        <w:rFonts w:ascii="Wingdings" w:hAnsi="Wingdings" w:hint="default"/>
      </w:rPr>
    </w:lvl>
    <w:lvl w:ilvl="6" w:tplc="042A0001" w:tentative="1">
      <w:start w:val="1"/>
      <w:numFmt w:val="bullet"/>
      <w:lvlText w:val=""/>
      <w:lvlJc w:val="left"/>
      <w:pPr>
        <w:ind w:left="4779" w:hanging="360"/>
      </w:pPr>
      <w:rPr>
        <w:rFonts w:ascii="Symbol" w:hAnsi="Symbol" w:hint="default"/>
      </w:rPr>
    </w:lvl>
    <w:lvl w:ilvl="7" w:tplc="042A0003" w:tentative="1">
      <w:start w:val="1"/>
      <w:numFmt w:val="bullet"/>
      <w:lvlText w:val="o"/>
      <w:lvlJc w:val="left"/>
      <w:pPr>
        <w:ind w:left="5499" w:hanging="360"/>
      </w:pPr>
      <w:rPr>
        <w:rFonts w:ascii="Courier New" w:hAnsi="Courier New" w:cs="Courier New" w:hint="default"/>
      </w:rPr>
    </w:lvl>
    <w:lvl w:ilvl="8" w:tplc="042A0005" w:tentative="1">
      <w:start w:val="1"/>
      <w:numFmt w:val="bullet"/>
      <w:lvlText w:val=""/>
      <w:lvlJc w:val="left"/>
      <w:pPr>
        <w:ind w:left="6219" w:hanging="360"/>
      </w:pPr>
      <w:rPr>
        <w:rFonts w:ascii="Wingdings" w:hAnsi="Wingdings" w:hint="default"/>
      </w:rPr>
    </w:lvl>
  </w:abstractNum>
  <w:abstractNum w:abstractNumId="15" w15:restartNumberingAfterBreak="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C75FC"/>
    <w:multiLevelType w:val="multilevel"/>
    <w:tmpl w:val="15ACED64"/>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9C9113F"/>
    <w:multiLevelType w:val="hybridMultilevel"/>
    <w:tmpl w:val="71FEAC5C"/>
    <w:lvl w:ilvl="0" w:tplc="BBBEEEE6">
      <w:start w:val="1"/>
      <w:numFmt w:val="lowerLetter"/>
      <w:suff w:val="space"/>
      <w:lvlText w:val="%1)"/>
      <w:lvlJc w:val="left"/>
      <w:pPr>
        <w:ind w:left="492" w:hanging="360"/>
      </w:pPr>
      <w:rPr>
        <w:rFonts w:hint="default"/>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18" w15:restartNumberingAfterBreak="0">
    <w:nsid w:val="3A477FDE"/>
    <w:multiLevelType w:val="multilevel"/>
    <w:tmpl w:val="2BAEF802"/>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1EC2F4A"/>
    <w:multiLevelType w:val="hybridMultilevel"/>
    <w:tmpl w:val="31B8A62E"/>
    <w:lvl w:ilvl="0" w:tplc="24A64602">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435D04D7"/>
    <w:multiLevelType w:val="multilevel"/>
    <w:tmpl w:val="BF3CE0B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D502F9A"/>
    <w:multiLevelType w:val="multilevel"/>
    <w:tmpl w:val="2BD6227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D7D6D16"/>
    <w:multiLevelType w:val="hybridMultilevel"/>
    <w:tmpl w:val="22906F0A"/>
    <w:lvl w:ilvl="0" w:tplc="D430EE3C">
      <w:start w:val="1"/>
      <w:numFmt w:val="decimal"/>
      <w:lvlText w:val="%1."/>
      <w:lvlJc w:val="left"/>
      <w:pPr>
        <w:ind w:left="492" w:hanging="360"/>
      </w:pPr>
      <w:rPr>
        <w:rFonts w:hint="default"/>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23" w15:restartNumberingAfterBreak="0">
    <w:nsid w:val="52FE21C8"/>
    <w:multiLevelType w:val="hybridMultilevel"/>
    <w:tmpl w:val="8D266D8C"/>
    <w:lvl w:ilvl="0" w:tplc="6D68990A">
      <w:start w:val="1"/>
      <w:numFmt w:val="decimal"/>
      <w:suff w:val="space"/>
      <w:lvlText w:val="%1."/>
      <w:lvlJc w:val="left"/>
      <w:pPr>
        <w:ind w:left="492" w:hanging="360"/>
      </w:pPr>
      <w:rPr>
        <w:rFonts w:eastAsia="Times New Roman" w:hint="default"/>
        <w:b w:val="0"/>
        <w:sz w:val="28"/>
      </w:rPr>
    </w:lvl>
    <w:lvl w:ilvl="1" w:tplc="042A0019" w:tentative="1">
      <w:start w:val="1"/>
      <w:numFmt w:val="lowerLetter"/>
      <w:lvlText w:val="%2."/>
      <w:lvlJc w:val="left"/>
      <w:pPr>
        <w:ind w:left="1212" w:hanging="360"/>
      </w:pPr>
    </w:lvl>
    <w:lvl w:ilvl="2" w:tplc="042A001B" w:tentative="1">
      <w:start w:val="1"/>
      <w:numFmt w:val="lowerRoman"/>
      <w:lvlText w:val="%3."/>
      <w:lvlJc w:val="right"/>
      <w:pPr>
        <w:ind w:left="1932" w:hanging="180"/>
      </w:pPr>
    </w:lvl>
    <w:lvl w:ilvl="3" w:tplc="042A000F" w:tentative="1">
      <w:start w:val="1"/>
      <w:numFmt w:val="decimal"/>
      <w:lvlText w:val="%4."/>
      <w:lvlJc w:val="left"/>
      <w:pPr>
        <w:ind w:left="2652" w:hanging="360"/>
      </w:pPr>
    </w:lvl>
    <w:lvl w:ilvl="4" w:tplc="042A0019" w:tentative="1">
      <w:start w:val="1"/>
      <w:numFmt w:val="lowerLetter"/>
      <w:lvlText w:val="%5."/>
      <w:lvlJc w:val="left"/>
      <w:pPr>
        <w:ind w:left="3372" w:hanging="360"/>
      </w:pPr>
    </w:lvl>
    <w:lvl w:ilvl="5" w:tplc="042A001B" w:tentative="1">
      <w:start w:val="1"/>
      <w:numFmt w:val="lowerRoman"/>
      <w:lvlText w:val="%6."/>
      <w:lvlJc w:val="right"/>
      <w:pPr>
        <w:ind w:left="4092" w:hanging="180"/>
      </w:pPr>
    </w:lvl>
    <w:lvl w:ilvl="6" w:tplc="042A000F" w:tentative="1">
      <w:start w:val="1"/>
      <w:numFmt w:val="decimal"/>
      <w:lvlText w:val="%7."/>
      <w:lvlJc w:val="left"/>
      <w:pPr>
        <w:ind w:left="4812" w:hanging="360"/>
      </w:pPr>
    </w:lvl>
    <w:lvl w:ilvl="7" w:tplc="042A0019" w:tentative="1">
      <w:start w:val="1"/>
      <w:numFmt w:val="lowerLetter"/>
      <w:lvlText w:val="%8."/>
      <w:lvlJc w:val="left"/>
      <w:pPr>
        <w:ind w:left="5532" w:hanging="360"/>
      </w:pPr>
    </w:lvl>
    <w:lvl w:ilvl="8" w:tplc="042A001B" w:tentative="1">
      <w:start w:val="1"/>
      <w:numFmt w:val="lowerRoman"/>
      <w:lvlText w:val="%9."/>
      <w:lvlJc w:val="right"/>
      <w:pPr>
        <w:ind w:left="6252" w:hanging="180"/>
      </w:pPr>
    </w:lvl>
  </w:abstractNum>
  <w:abstractNum w:abstractNumId="24" w15:restartNumberingAfterBreak="0">
    <w:nsid w:val="61C16676"/>
    <w:multiLevelType w:val="multilevel"/>
    <w:tmpl w:val="47FE494A"/>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91310D6"/>
    <w:multiLevelType w:val="multilevel"/>
    <w:tmpl w:val="84542DBC"/>
    <w:lvl w:ilvl="0">
      <w:start w:val="1"/>
      <w:numFmt w:val="lowerLetter"/>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A875557"/>
    <w:multiLevelType w:val="multilevel"/>
    <w:tmpl w:val="5CB023E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7C6159B1"/>
    <w:multiLevelType w:val="hybridMultilevel"/>
    <w:tmpl w:val="72663114"/>
    <w:lvl w:ilvl="0" w:tplc="86F8707A">
      <w:start w:val="1"/>
      <w:numFmt w:val="decimal"/>
      <w:suff w:val="space"/>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347443743">
    <w:abstractNumId w:val="15"/>
  </w:num>
  <w:num w:numId="2" w16cid:durableId="1030374768">
    <w:abstractNumId w:val="6"/>
  </w:num>
  <w:num w:numId="3" w16cid:durableId="1818456635">
    <w:abstractNumId w:val="9"/>
  </w:num>
  <w:num w:numId="4" w16cid:durableId="1606962538">
    <w:abstractNumId w:val="18"/>
  </w:num>
  <w:num w:numId="5" w16cid:durableId="1394692525">
    <w:abstractNumId w:val="14"/>
  </w:num>
  <w:num w:numId="6" w16cid:durableId="1098597387">
    <w:abstractNumId w:val="19"/>
  </w:num>
  <w:num w:numId="7" w16cid:durableId="501164182">
    <w:abstractNumId w:val="16"/>
  </w:num>
  <w:num w:numId="8" w16cid:durableId="949320318">
    <w:abstractNumId w:val="25"/>
  </w:num>
  <w:num w:numId="9" w16cid:durableId="1695691558">
    <w:abstractNumId w:val="11"/>
  </w:num>
  <w:num w:numId="10" w16cid:durableId="495344111">
    <w:abstractNumId w:val="3"/>
  </w:num>
  <w:num w:numId="11" w16cid:durableId="381827683">
    <w:abstractNumId w:val="1"/>
  </w:num>
  <w:num w:numId="12" w16cid:durableId="1012492087">
    <w:abstractNumId w:val="4"/>
  </w:num>
  <w:num w:numId="13" w16cid:durableId="232011625">
    <w:abstractNumId w:val="20"/>
  </w:num>
  <w:num w:numId="14" w16cid:durableId="1754277184">
    <w:abstractNumId w:val="12"/>
  </w:num>
  <w:num w:numId="15" w16cid:durableId="938951976">
    <w:abstractNumId w:val="8"/>
  </w:num>
  <w:num w:numId="16" w16cid:durableId="1137914572">
    <w:abstractNumId w:val="26"/>
  </w:num>
  <w:num w:numId="17" w16cid:durableId="181824010">
    <w:abstractNumId w:val="24"/>
  </w:num>
  <w:num w:numId="18" w16cid:durableId="91898635">
    <w:abstractNumId w:val="0"/>
  </w:num>
  <w:num w:numId="19" w16cid:durableId="1971469404">
    <w:abstractNumId w:val="7"/>
  </w:num>
  <w:num w:numId="20" w16cid:durableId="85658148">
    <w:abstractNumId w:val="23"/>
  </w:num>
  <w:num w:numId="21" w16cid:durableId="1773207856">
    <w:abstractNumId w:val="5"/>
  </w:num>
  <w:num w:numId="22" w16cid:durableId="1108042917">
    <w:abstractNumId w:val="21"/>
  </w:num>
  <w:num w:numId="23" w16cid:durableId="1026442520">
    <w:abstractNumId w:val="2"/>
  </w:num>
  <w:num w:numId="24" w16cid:durableId="1639677029">
    <w:abstractNumId w:val="17"/>
  </w:num>
  <w:num w:numId="25" w16cid:durableId="1831015686">
    <w:abstractNumId w:val="10"/>
  </w:num>
  <w:num w:numId="26" w16cid:durableId="976763281">
    <w:abstractNumId w:val="13"/>
  </w:num>
  <w:num w:numId="27" w16cid:durableId="603225653">
    <w:abstractNumId w:val="22"/>
  </w:num>
  <w:num w:numId="28" w16cid:durableId="15909622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F2A"/>
    <w:rsid w:val="000026DA"/>
    <w:rsid w:val="0000606A"/>
    <w:rsid w:val="000152EC"/>
    <w:rsid w:val="00024465"/>
    <w:rsid w:val="0003042D"/>
    <w:rsid w:val="00040B22"/>
    <w:rsid w:val="0008451F"/>
    <w:rsid w:val="000850BD"/>
    <w:rsid w:val="000873E0"/>
    <w:rsid w:val="000A2449"/>
    <w:rsid w:val="000A752C"/>
    <w:rsid w:val="000A75B7"/>
    <w:rsid w:val="000B3820"/>
    <w:rsid w:val="000B3858"/>
    <w:rsid w:val="000B590A"/>
    <w:rsid w:val="000B7D0E"/>
    <w:rsid w:val="000C31B8"/>
    <w:rsid w:val="000C473B"/>
    <w:rsid w:val="000C6479"/>
    <w:rsid w:val="000D0113"/>
    <w:rsid w:val="000E6BE5"/>
    <w:rsid w:val="00100F3A"/>
    <w:rsid w:val="001136CA"/>
    <w:rsid w:val="00113F8D"/>
    <w:rsid w:val="00132362"/>
    <w:rsid w:val="00141B83"/>
    <w:rsid w:val="001527B0"/>
    <w:rsid w:val="001665AE"/>
    <w:rsid w:val="00170833"/>
    <w:rsid w:val="001721BF"/>
    <w:rsid w:val="00183A7B"/>
    <w:rsid w:val="001A4685"/>
    <w:rsid w:val="001A522F"/>
    <w:rsid w:val="001A6E3A"/>
    <w:rsid w:val="001A789B"/>
    <w:rsid w:val="001B7899"/>
    <w:rsid w:val="001B79BD"/>
    <w:rsid w:val="001D4C97"/>
    <w:rsid w:val="001D4ECB"/>
    <w:rsid w:val="001D7807"/>
    <w:rsid w:val="001F3C76"/>
    <w:rsid w:val="001F45F6"/>
    <w:rsid w:val="0020193D"/>
    <w:rsid w:val="00203BA9"/>
    <w:rsid w:val="00205FE3"/>
    <w:rsid w:val="00250823"/>
    <w:rsid w:val="00256699"/>
    <w:rsid w:val="0025678D"/>
    <w:rsid w:val="00260003"/>
    <w:rsid w:val="0026579A"/>
    <w:rsid w:val="0028678D"/>
    <w:rsid w:val="002A31B4"/>
    <w:rsid w:val="002B4DC6"/>
    <w:rsid w:val="002C5D79"/>
    <w:rsid w:val="002D7E28"/>
    <w:rsid w:val="002E41BE"/>
    <w:rsid w:val="002E6ABB"/>
    <w:rsid w:val="002F26EE"/>
    <w:rsid w:val="0030278B"/>
    <w:rsid w:val="00312DD6"/>
    <w:rsid w:val="00313042"/>
    <w:rsid w:val="00340731"/>
    <w:rsid w:val="00351A84"/>
    <w:rsid w:val="00353826"/>
    <w:rsid w:val="0036616F"/>
    <w:rsid w:val="00367E44"/>
    <w:rsid w:val="003765AE"/>
    <w:rsid w:val="00381DFA"/>
    <w:rsid w:val="00387256"/>
    <w:rsid w:val="00395E23"/>
    <w:rsid w:val="00397DE8"/>
    <w:rsid w:val="003A0ED9"/>
    <w:rsid w:val="003A200E"/>
    <w:rsid w:val="003A4F9D"/>
    <w:rsid w:val="003B07D3"/>
    <w:rsid w:val="003B27C2"/>
    <w:rsid w:val="003B6DEF"/>
    <w:rsid w:val="003E1BA3"/>
    <w:rsid w:val="003F14D8"/>
    <w:rsid w:val="003F5866"/>
    <w:rsid w:val="004012BF"/>
    <w:rsid w:val="004075EB"/>
    <w:rsid w:val="004078BC"/>
    <w:rsid w:val="00410879"/>
    <w:rsid w:val="004178B6"/>
    <w:rsid w:val="00433995"/>
    <w:rsid w:val="00436245"/>
    <w:rsid w:val="00437411"/>
    <w:rsid w:val="00447475"/>
    <w:rsid w:val="00447C8D"/>
    <w:rsid w:val="00450CFD"/>
    <w:rsid w:val="00452A0E"/>
    <w:rsid w:val="00461B3C"/>
    <w:rsid w:val="00470157"/>
    <w:rsid w:val="00477512"/>
    <w:rsid w:val="00482EC8"/>
    <w:rsid w:val="00486594"/>
    <w:rsid w:val="00490718"/>
    <w:rsid w:val="00494EEF"/>
    <w:rsid w:val="004B6918"/>
    <w:rsid w:val="004B7A1B"/>
    <w:rsid w:val="004C0E95"/>
    <w:rsid w:val="004D3813"/>
    <w:rsid w:val="004D491E"/>
    <w:rsid w:val="004D73C1"/>
    <w:rsid w:val="004E50EF"/>
    <w:rsid w:val="004F1B0A"/>
    <w:rsid w:val="005107E5"/>
    <w:rsid w:val="0051717F"/>
    <w:rsid w:val="005300F2"/>
    <w:rsid w:val="00531A0C"/>
    <w:rsid w:val="00546290"/>
    <w:rsid w:val="00546DAD"/>
    <w:rsid w:val="0055686D"/>
    <w:rsid w:val="00561D57"/>
    <w:rsid w:val="0056213A"/>
    <w:rsid w:val="00565462"/>
    <w:rsid w:val="00571F5B"/>
    <w:rsid w:val="0057773E"/>
    <w:rsid w:val="00587AE9"/>
    <w:rsid w:val="00587F01"/>
    <w:rsid w:val="0059189A"/>
    <w:rsid w:val="005A16A5"/>
    <w:rsid w:val="005A7652"/>
    <w:rsid w:val="005C0D59"/>
    <w:rsid w:val="005C13B1"/>
    <w:rsid w:val="005D5AC6"/>
    <w:rsid w:val="005E29C2"/>
    <w:rsid w:val="00602B5E"/>
    <w:rsid w:val="00602D5E"/>
    <w:rsid w:val="00604316"/>
    <w:rsid w:val="006105AB"/>
    <w:rsid w:val="00623338"/>
    <w:rsid w:val="00623402"/>
    <w:rsid w:val="00626279"/>
    <w:rsid w:val="00630C4A"/>
    <w:rsid w:val="00632221"/>
    <w:rsid w:val="00633682"/>
    <w:rsid w:val="00636D89"/>
    <w:rsid w:val="00664086"/>
    <w:rsid w:val="0067338D"/>
    <w:rsid w:val="006759C3"/>
    <w:rsid w:val="00687336"/>
    <w:rsid w:val="006A481C"/>
    <w:rsid w:val="006B2A46"/>
    <w:rsid w:val="006B7DD3"/>
    <w:rsid w:val="006C6B3C"/>
    <w:rsid w:val="006D4C68"/>
    <w:rsid w:val="006E0CAD"/>
    <w:rsid w:val="006E3D26"/>
    <w:rsid w:val="00707C70"/>
    <w:rsid w:val="0071581F"/>
    <w:rsid w:val="00717545"/>
    <w:rsid w:val="00727602"/>
    <w:rsid w:val="00745A1E"/>
    <w:rsid w:val="00757751"/>
    <w:rsid w:val="007625DC"/>
    <w:rsid w:val="007830AC"/>
    <w:rsid w:val="00787BCC"/>
    <w:rsid w:val="0079182C"/>
    <w:rsid w:val="007A1032"/>
    <w:rsid w:val="007A1DD1"/>
    <w:rsid w:val="007A3C4B"/>
    <w:rsid w:val="007A5220"/>
    <w:rsid w:val="007D0EF0"/>
    <w:rsid w:val="007D7979"/>
    <w:rsid w:val="007F075E"/>
    <w:rsid w:val="007F21B5"/>
    <w:rsid w:val="00805500"/>
    <w:rsid w:val="00807D42"/>
    <w:rsid w:val="00807F59"/>
    <w:rsid w:val="008152A0"/>
    <w:rsid w:val="00816F2D"/>
    <w:rsid w:val="00817311"/>
    <w:rsid w:val="00817B31"/>
    <w:rsid w:val="00836BC3"/>
    <w:rsid w:val="00863D35"/>
    <w:rsid w:val="00866898"/>
    <w:rsid w:val="00871C3F"/>
    <w:rsid w:val="008802E9"/>
    <w:rsid w:val="00893EE2"/>
    <w:rsid w:val="008B0BDD"/>
    <w:rsid w:val="008B2D25"/>
    <w:rsid w:val="008C4F47"/>
    <w:rsid w:val="008D2134"/>
    <w:rsid w:val="008E2CE9"/>
    <w:rsid w:val="008E4809"/>
    <w:rsid w:val="008F2F98"/>
    <w:rsid w:val="008F3BFB"/>
    <w:rsid w:val="00903F85"/>
    <w:rsid w:val="00912237"/>
    <w:rsid w:val="00917991"/>
    <w:rsid w:val="0092018F"/>
    <w:rsid w:val="00924ACD"/>
    <w:rsid w:val="00926C78"/>
    <w:rsid w:val="009318BC"/>
    <w:rsid w:val="00934A7D"/>
    <w:rsid w:val="00934CD7"/>
    <w:rsid w:val="00937AB2"/>
    <w:rsid w:val="00943201"/>
    <w:rsid w:val="0095124E"/>
    <w:rsid w:val="00963915"/>
    <w:rsid w:val="00965514"/>
    <w:rsid w:val="009763BB"/>
    <w:rsid w:val="00995F6F"/>
    <w:rsid w:val="009A23BC"/>
    <w:rsid w:val="009A3476"/>
    <w:rsid w:val="009A539E"/>
    <w:rsid w:val="009B0C92"/>
    <w:rsid w:val="009C6A3F"/>
    <w:rsid w:val="009C7020"/>
    <w:rsid w:val="009D2734"/>
    <w:rsid w:val="009D65E8"/>
    <w:rsid w:val="009E64A9"/>
    <w:rsid w:val="009F20F3"/>
    <w:rsid w:val="00A05C89"/>
    <w:rsid w:val="00A14924"/>
    <w:rsid w:val="00A16D57"/>
    <w:rsid w:val="00A24356"/>
    <w:rsid w:val="00A26596"/>
    <w:rsid w:val="00A34103"/>
    <w:rsid w:val="00A43E36"/>
    <w:rsid w:val="00A451D1"/>
    <w:rsid w:val="00A45885"/>
    <w:rsid w:val="00A53D6B"/>
    <w:rsid w:val="00A61331"/>
    <w:rsid w:val="00A62437"/>
    <w:rsid w:val="00A7604F"/>
    <w:rsid w:val="00AA3B88"/>
    <w:rsid w:val="00AC117D"/>
    <w:rsid w:val="00AC2956"/>
    <w:rsid w:val="00AE1A75"/>
    <w:rsid w:val="00AE7C93"/>
    <w:rsid w:val="00AF163B"/>
    <w:rsid w:val="00AF481C"/>
    <w:rsid w:val="00AF50FE"/>
    <w:rsid w:val="00B07F92"/>
    <w:rsid w:val="00B20DBE"/>
    <w:rsid w:val="00B31C30"/>
    <w:rsid w:val="00B33F9A"/>
    <w:rsid w:val="00B42647"/>
    <w:rsid w:val="00B43A76"/>
    <w:rsid w:val="00B4481B"/>
    <w:rsid w:val="00B46B2A"/>
    <w:rsid w:val="00B47E95"/>
    <w:rsid w:val="00B60309"/>
    <w:rsid w:val="00B66004"/>
    <w:rsid w:val="00B665B6"/>
    <w:rsid w:val="00B67293"/>
    <w:rsid w:val="00B72163"/>
    <w:rsid w:val="00B8757D"/>
    <w:rsid w:val="00B94ED7"/>
    <w:rsid w:val="00B95FFD"/>
    <w:rsid w:val="00BA7167"/>
    <w:rsid w:val="00BB337B"/>
    <w:rsid w:val="00BB55D6"/>
    <w:rsid w:val="00BB577F"/>
    <w:rsid w:val="00BD4F2A"/>
    <w:rsid w:val="00BE21AF"/>
    <w:rsid w:val="00BF56A5"/>
    <w:rsid w:val="00C14024"/>
    <w:rsid w:val="00C24237"/>
    <w:rsid w:val="00C30D39"/>
    <w:rsid w:val="00C31CC1"/>
    <w:rsid w:val="00C37907"/>
    <w:rsid w:val="00C4105A"/>
    <w:rsid w:val="00C51CEC"/>
    <w:rsid w:val="00C5427B"/>
    <w:rsid w:val="00C54AC9"/>
    <w:rsid w:val="00C61455"/>
    <w:rsid w:val="00C644A8"/>
    <w:rsid w:val="00C700F1"/>
    <w:rsid w:val="00C726BA"/>
    <w:rsid w:val="00C8134C"/>
    <w:rsid w:val="00C87629"/>
    <w:rsid w:val="00C97E4B"/>
    <w:rsid w:val="00CA471C"/>
    <w:rsid w:val="00CA4E27"/>
    <w:rsid w:val="00CA4FAD"/>
    <w:rsid w:val="00CB0392"/>
    <w:rsid w:val="00CB4879"/>
    <w:rsid w:val="00CC4A9B"/>
    <w:rsid w:val="00CF0488"/>
    <w:rsid w:val="00CF2606"/>
    <w:rsid w:val="00CF3624"/>
    <w:rsid w:val="00CF7F82"/>
    <w:rsid w:val="00D01BE7"/>
    <w:rsid w:val="00D045DB"/>
    <w:rsid w:val="00D1687B"/>
    <w:rsid w:val="00D227B5"/>
    <w:rsid w:val="00D32F68"/>
    <w:rsid w:val="00D44293"/>
    <w:rsid w:val="00D70889"/>
    <w:rsid w:val="00D90DBC"/>
    <w:rsid w:val="00DA23F4"/>
    <w:rsid w:val="00DC0111"/>
    <w:rsid w:val="00DC1576"/>
    <w:rsid w:val="00DD3AD5"/>
    <w:rsid w:val="00DD6D6F"/>
    <w:rsid w:val="00DE0BD8"/>
    <w:rsid w:val="00DF135E"/>
    <w:rsid w:val="00DF63F2"/>
    <w:rsid w:val="00E06E8E"/>
    <w:rsid w:val="00E072E0"/>
    <w:rsid w:val="00E07E67"/>
    <w:rsid w:val="00E1050F"/>
    <w:rsid w:val="00E13655"/>
    <w:rsid w:val="00E2058B"/>
    <w:rsid w:val="00E236BD"/>
    <w:rsid w:val="00E27616"/>
    <w:rsid w:val="00E36C33"/>
    <w:rsid w:val="00E477D8"/>
    <w:rsid w:val="00E51555"/>
    <w:rsid w:val="00E5511E"/>
    <w:rsid w:val="00E641BD"/>
    <w:rsid w:val="00E82E8E"/>
    <w:rsid w:val="00EA4CE4"/>
    <w:rsid w:val="00EB79C0"/>
    <w:rsid w:val="00ED35CF"/>
    <w:rsid w:val="00ED53F1"/>
    <w:rsid w:val="00ED6984"/>
    <w:rsid w:val="00EE0FFF"/>
    <w:rsid w:val="00EE2DED"/>
    <w:rsid w:val="00EF1164"/>
    <w:rsid w:val="00F161A7"/>
    <w:rsid w:val="00F27A6F"/>
    <w:rsid w:val="00F27B7F"/>
    <w:rsid w:val="00F31681"/>
    <w:rsid w:val="00F40D05"/>
    <w:rsid w:val="00F4608E"/>
    <w:rsid w:val="00F4657D"/>
    <w:rsid w:val="00F6462D"/>
    <w:rsid w:val="00F70E29"/>
    <w:rsid w:val="00F75345"/>
    <w:rsid w:val="00F843CA"/>
    <w:rsid w:val="00F91D81"/>
    <w:rsid w:val="00F94BDE"/>
    <w:rsid w:val="00F96ED4"/>
    <w:rsid w:val="00FA0343"/>
    <w:rsid w:val="00FB0094"/>
    <w:rsid w:val="00FB1042"/>
    <w:rsid w:val="00FC7A47"/>
    <w:rsid w:val="00FE22B9"/>
    <w:rsid w:val="00FE508C"/>
    <w:rsid w:val="00FF3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2AB055-8930-43A0-9C10-FD304AC6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8F2F98"/>
    <w:pPr>
      <w:tabs>
        <w:tab w:val="center" w:pos="4680"/>
        <w:tab w:val="right" w:pos="9360"/>
      </w:tabs>
    </w:pPr>
  </w:style>
  <w:style w:type="character" w:customStyle="1" w:styleId="FooterChar">
    <w:name w:val="Footer Char"/>
    <w:basedOn w:val="DefaultParagraphFont"/>
    <w:link w:val="Footer"/>
    <w:uiPriority w:val="99"/>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1">
    <w:name w:val="Unresolved Mention1"/>
    <w:basedOn w:val="DefaultParagraphFont"/>
    <w:uiPriority w:val="99"/>
    <w:semiHidden/>
    <w:unhideWhenUsed/>
    <w:rsid w:val="00A16D57"/>
    <w:rPr>
      <w:color w:val="605E5C"/>
      <w:shd w:val="clear" w:color="auto" w:fill="E1DFDD"/>
    </w:rPr>
  </w:style>
  <w:style w:type="paragraph" w:styleId="BodyTextIndent3">
    <w:name w:val="Body Text Indent 3"/>
    <w:basedOn w:val="Normal"/>
    <w:link w:val="BodyTextIndent3Char"/>
    <w:rsid w:val="00CF0488"/>
    <w:pPr>
      <w:widowControl/>
      <w:pBdr>
        <w:top w:val="none" w:sz="4" w:space="0" w:color="000000"/>
        <w:left w:val="none" w:sz="4" w:space="0" w:color="000000"/>
        <w:bottom w:val="none" w:sz="4" w:space="0" w:color="000000"/>
        <w:right w:val="none" w:sz="4" w:space="0" w:color="000000"/>
        <w:between w:val="none" w:sz="4" w:space="0" w:color="000000"/>
      </w:pBdr>
      <w:spacing w:after="120"/>
      <w:ind w:left="360"/>
    </w:pPr>
    <w:rPr>
      <w:rFonts w:ascii=".VnTime" w:hAnsi=".VnTime" w:cs="Times New Roman"/>
      <w:color w:val="auto"/>
      <w:sz w:val="16"/>
      <w:szCs w:val="16"/>
      <w:lang w:val="en-US" w:eastAsia="en-US"/>
    </w:rPr>
  </w:style>
  <w:style w:type="character" w:customStyle="1" w:styleId="BodyTextIndent3Char">
    <w:name w:val="Body Text Indent 3 Char"/>
    <w:basedOn w:val="DefaultParagraphFont"/>
    <w:link w:val="BodyTextIndent3"/>
    <w:rsid w:val="00CF0488"/>
    <w:rPr>
      <w:rFonts w:ascii=".VnTime" w:eastAsia="Times New Roman" w:hAnsi=".VnTime" w:cs="Times New Roman"/>
      <w:sz w:val="16"/>
      <w:szCs w:val="16"/>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0B7D0E"/>
    <w:rPr>
      <w:rFonts w:ascii="Times New Roman" w:eastAsia="Times New Roman" w:hAnsi="Times New Roman" w:cs="Times New Roman"/>
      <w:sz w:val="24"/>
      <w:szCs w:val="24"/>
    </w:rPr>
  </w:style>
  <w:style w:type="character" w:customStyle="1" w:styleId="Bodytext">
    <w:name w:val="Body text_"/>
    <w:basedOn w:val="DefaultParagraphFont"/>
    <w:link w:val="BodyText1"/>
    <w:rsid w:val="00367E44"/>
    <w:rPr>
      <w:sz w:val="28"/>
      <w:szCs w:val="28"/>
      <w:shd w:val="clear" w:color="auto" w:fill="FFFFFF"/>
    </w:rPr>
  </w:style>
  <w:style w:type="paragraph" w:customStyle="1" w:styleId="BodyText1">
    <w:name w:val="Body Text1"/>
    <w:basedOn w:val="Normal"/>
    <w:link w:val="Bodytext"/>
    <w:qFormat/>
    <w:rsid w:val="00367E44"/>
    <w:pPr>
      <w:shd w:val="clear" w:color="auto" w:fill="FFFFFF"/>
      <w:spacing w:after="120" w:line="269" w:lineRule="auto"/>
      <w:ind w:firstLine="400"/>
    </w:pPr>
    <w:rPr>
      <w:rFonts w:asciiTheme="minorHAnsi" w:eastAsiaTheme="minorHAnsi" w:hAnsiTheme="minorHAnsi" w:cstheme="minorBidi"/>
      <w:color w:val="auto"/>
      <w:sz w:val="28"/>
      <w:szCs w:val="28"/>
      <w:lang w:val="en-US" w:eastAsia="en-US"/>
    </w:rPr>
  </w:style>
  <w:style w:type="character" w:styleId="Emphasis">
    <w:name w:val="Emphasis"/>
    <w:qFormat/>
    <w:rsid w:val="0020193D"/>
    <w:rPr>
      <w:i/>
      <w:iCs/>
    </w:rPr>
  </w:style>
  <w:style w:type="character" w:customStyle="1" w:styleId="fontstyle01">
    <w:name w:val="fontstyle01"/>
    <w:basedOn w:val="DefaultParagraphFont"/>
    <w:rsid w:val="00B4264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4264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17</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ismail - [2010]</cp:lastModifiedBy>
  <cp:revision>42</cp:revision>
  <cp:lastPrinted>2025-06-11T09:07:00Z</cp:lastPrinted>
  <dcterms:created xsi:type="dcterms:W3CDTF">2025-08-07T01:45:00Z</dcterms:created>
  <dcterms:modified xsi:type="dcterms:W3CDTF">2026-01-16T05:49:00Z</dcterms:modified>
</cp:coreProperties>
</file>